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01BC0" w14:textId="77777777" w:rsidR="00FC607D" w:rsidRPr="0011015D" w:rsidRDefault="000748BF" w:rsidP="0011015D">
      <w:pPr>
        <w:rPr>
          <w:rFonts w:ascii="Georgia" w:hAnsi="Georgia"/>
        </w:rPr>
      </w:pPr>
    </w:p>
    <w:p w14:paraId="3FB01BC1" w14:textId="77777777" w:rsidR="00FC607D" w:rsidRPr="0011015D" w:rsidRDefault="000748BF" w:rsidP="00633C01">
      <w:pPr>
        <w:jc w:val="center"/>
        <w:rPr>
          <w:rFonts w:ascii="Georgia" w:hAnsi="Georgia"/>
        </w:rPr>
      </w:pPr>
    </w:p>
    <w:p w14:paraId="3FB01BC2" w14:textId="77777777" w:rsidR="00FC607D" w:rsidRPr="0011015D" w:rsidRDefault="000748BF" w:rsidP="0011015D">
      <w:pPr>
        <w:rPr>
          <w:rFonts w:ascii="Georgia" w:hAnsi="Georgia"/>
        </w:rPr>
      </w:pPr>
    </w:p>
    <w:p w14:paraId="3FB01BC3" w14:textId="77777777" w:rsidR="00465916" w:rsidRPr="000E1861" w:rsidRDefault="000748BF" w:rsidP="00465916">
      <w:pPr>
        <w:rPr>
          <w:rFonts w:ascii="Georgia" w:hAnsi="Georgia"/>
          <w:b/>
          <w:sz w:val="32"/>
          <w:szCs w:val="28"/>
          <w:u w:val="single"/>
        </w:rPr>
      </w:pPr>
      <w:r w:rsidRPr="000E1861">
        <w:rPr>
          <w:rFonts w:ascii="Georgia" w:hAnsi="Georgia"/>
          <w:b/>
          <w:sz w:val="32"/>
          <w:szCs w:val="28"/>
          <w:u w:val="single"/>
        </w:rPr>
        <w:t>Environmental, social and governance best practice</w:t>
      </w:r>
    </w:p>
    <w:p w14:paraId="3FB01BC4" w14:textId="77777777" w:rsidR="00465916" w:rsidRPr="00465916" w:rsidRDefault="000748BF" w:rsidP="00F82629">
      <w:pPr>
        <w:rPr>
          <w:rFonts w:ascii="Georgia" w:hAnsi="Georgia"/>
          <w:b/>
          <w:sz w:val="28"/>
          <w:szCs w:val="28"/>
          <w:u w:val="single"/>
        </w:rPr>
      </w:pPr>
    </w:p>
    <w:p w14:paraId="3FB01BC5" w14:textId="77777777" w:rsidR="001647D8" w:rsidRPr="00B307B1" w:rsidRDefault="000748BF" w:rsidP="00F82629">
      <w:pPr>
        <w:rPr>
          <w:rFonts w:ascii="Georgia" w:hAnsi="Georgia"/>
          <w:b/>
          <w:sz w:val="28"/>
        </w:rPr>
      </w:pPr>
      <w:r>
        <w:rPr>
          <w:rFonts w:ascii="Georgia" w:hAnsi="Georgia"/>
          <w:b/>
          <w:sz w:val="28"/>
        </w:rPr>
        <w:t>D</w:t>
      </w:r>
      <w:r w:rsidRPr="00B307B1">
        <w:rPr>
          <w:rFonts w:ascii="Georgia" w:hAnsi="Georgia"/>
          <w:b/>
          <w:sz w:val="28"/>
        </w:rPr>
        <w:t xml:space="preserve">rafting </w:t>
      </w:r>
      <w:r>
        <w:rPr>
          <w:rFonts w:ascii="Georgia" w:hAnsi="Georgia"/>
          <w:b/>
          <w:sz w:val="28"/>
        </w:rPr>
        <w:t>G</w:t>
      </w:r>
      <w:r w:rsidRPr="00B307B1">
        <w:rPr>
          <w:rFonts w:ascii="Georgia" w:hAnsi="Georgia"/>
          <w:b/>
          <w:sz w:val="28"/>
        </w:rPr>
        <w:t>uide</w:t>
      </w:r>
      <w:r w:rsidRPr="00B307B1">
        <w:rPr>
          <w:rFonts w:ascii="Georgia" w:hAnsi="Georgia"/>
          <w:b/>
          <w:sz w:val="28"/>
        </w:rPr>
        <w:t xml:space="preserve"> for equity </w:t>
      </w:r>
      <w:r w:rsidRPr="00465916">
        <w:rPr>
          <w:rFonts w:ascii="Georgia" w:hAnsi="Georgia"/>
          <w:b/>
          <w:sz w:val="28"/>
          <w:szCs w:val="28"/>
        </w:rPr>
        <w:t>investments</w:t>
      </w:r>
    </w:p>
    <w:p w14:paraId="3FB01BC6" w14:textId="77777777" w:rsidR="00F82629" w:rsidRDefault="000748BF" w:rsidP="00FC607D">
      <w:pPr>
        <w:pStyle w:val="Notes"/>
        <w:jc w:val="both"/>
        <w:rPr>
          <w:rFonts w:ascii="Georgia" w:hAnsi="Georgia"/>
          <w:b/>
          <w:color w:val="984806" w:themeColor="accent6" w:themeShade="80"/>
        </w:rPr>
      </w:pPr>
    </w:p>
    <w:p w14:paraId="3FB01BC7" w14:textId="77777777" w:rsidR="000400EC" w:rsidRPr="000E1861" w:rsidRDefault="000748BF" w:rsidP="000400EC">
      <w:pPr>
        <w:pStyle w:val="Notes"/>
        <w:jc w:val="both"/>
        <w:rPr>
          <w:rFonts w:ascii="Georgia" w:hAnsi="Georgia"/>
          <w:b/>
          <w:color w:val="000000" w:themeColor="text1"/>
          <w:szCs w:val="24"/>
        </w:rPr>
      </w:pPr>
      <w:r w:rsidRPr="00B307B1">
        <w:rPr>
          <w:rFonts w:ascii="Georgia" w:hAnsi="Georgia"/>
          <w:b/>
          <w:sz w:val="32"/>
        </w:rPr>
        <w:t>Contents</w:t>
      </w:r>
      <w:r w:rsidRPr="000E1861">
        <w:rPr>
          <w:rFonts w:ascii="Georgia" w:hAnsi="Georgia"/>
          <w:b/>
          <w:color w:val="000000" w:themeColor="text1"/>
          <w:szCs w:val="24"/>
        </w:rPr>
        <w:t>:</w:t>
      </w:r>
    </w:p>
    <w:p w14:paraId="3FB01BC8" w14:textId="77777777" w:rsidR="00B0696D" w:rsidRDefault="000748BF">
      <w:pPr>
        <w:pStyle w:val="TOC2"/>
        <w:rPr>
          <w:rFonts w:asciiTheme="minorHAnsi" w:eastAsiaTheme="minorEastAsia" w:hAnsiTheme="minorHAnsi" w:cstheme="minorBidi"/>
          <w:szCs w:val="22"/>
          <w:lang w:eastAsia="en-GB"/>
        </w:rPr>
      </w:pPr>
      <w:r w:rsidRPr="00465916">
        <w:rPr>
          <w:sz w:val="28"/>
          <w:szCs w:val="28"/>
        </w:rPr>
        <w:fldChar w:fldCharType="begin"/>
      </w:r>
      <w:r w:rsidRPr="00465916">
        <w:instrText xml:space="preserve"> TOC \o "3-3" \h \z \t "Heading 1,1,Heading 2,2,Schedule title,1" </w:instrText>
      </w:r>
      <w:r w:rsidRPr="00465916">
        <w:rPr>
          <w:sz w:val="28"/>
          <w:szCs w:val="28"/>
        </w:rPr>
        <w:fldChar w:fldCharType="separate"/>
      </w:r>
      <w:hyperlink w:anchor="_Toc462908774" w:history="1">
        <w:r w:rsidRPr="00940AFA">
          <w:rPr>
            <w:rStyle w:val="Hyperlink"/>
          </w:rPr>
          <w:t>Introduction</w:t>
        </w:r>
        <w:r>
          <w:rPr>
            <w:webHidden/>
          </w:rPr>
          <w:tab/>
        </w:r>
        <w:r>
          <w:rPr>
            <w:webHidden/>
          </w:rPr>
          <w:fldChar w:fldCharType="begin"/>
        </w:r>
        <w:r>
          <w:rPr>
            <w:webHidden/>
          </w:rPr>
          <w:instrText xml:space="preserve"> PAGEREF _Toc462908774 \h </w:instrText>
        </w:r>
        <w:r>
          <w:rPr>
            <w:webHidden/>
          </w:rPr>
        </w:r>
        <w:r>
          <w:rPr>
            <w:webHidden/>
          </w:rPr>
          <w:fldChar w:fldCharType="separate"/>
        </w:r>
        <w:r>
          <w:rPr>
            <w:webHidden/>
          </w:rPr>
          <w:t>2</w:t>
        </w:r>
        <w:r>
          <w:rPr>
            <w:webHidden/>
          </w:rPr>
          <w:fldChar w:fldCharType="end"/>
        </w:r>
      </w:hyperlink>
    </w:p>
    <w:p w14:paraId="3FB01BC9" w14:textId="77777777" w:rsidR="00B0696D" w:rsidRDefault="000748BF">
      <w:pPr>
        <w:pStyle w:val="TOC2"/>
        <w:rPr>
          <w:rFonts w:asciiTheme="minorHAnsi" w:eastAsiaTheme="minorEastAsia" w:hAnsiTheme="minorHAnsi" w:cstheme="minorBidi"/>
          <w:szCs w:val="22"/>
          <w:lang w:eastAsia="en-GB"/>
        </w:rPr>
      </w:pPr>
      <w:hyperlink w:anchor="_Toc462908775" w:history="1">
        <w:r w:rsidRPr="00940AFA">
          <w:rPr>
            <w:rStyle w:val="Hyperlink"/>
          </w:rPr>
          <w:t>ESG definitions</w:t>
        </w:r>
        <w:r>
          <w:rPr>
            <w:webHidden/>
          </w:rPr>
          <w:tab/>
        </w:r>
        <w:r>
          <w:rPr>
            <w:webHidden/>
          </w:rPr>
          <w:fldChar w:fldCharType="begin"/>
        </w:r>
        <w:r>
          <w:rPr>
            <w:webHidden/>
          </w:rPr>
          <w:instrText xml:space="preserve"> PAGEREF _Toc462908775 \h </w:instrText>
        </w:r>
        <w:r>
          <w:rPr>
            <w:webHidden/>
          </w:rPr>
        </w:r>
        <w:r>
          <w:rPr>
            <w:webHidden/>
          </w:rPr>
          <w:fldChar w:fldCharType="separate"/>
        </w:r>
        <w:r>
          <w:rPr>
            <w:webHidden/>
          </w:rPr>
          <w:t>3</w:t>
        </w:r>
        <w:r>
          <w:rPr>
            <w:webHidden/>
          </w:rPr>
          <w:fldChar w:fldCharType="end"/>
        </w:r>
      </w:hyperlink>
    </w:p>
    <w:p w14:paraId="3FB01BCA" w14:textId="77777777" w:rsidR="00B0696D" w:rsidRDefault="000748BF">
      <w:pPr>
        <w:pStyle w:val="TOC2"/>
        <w:rPr>
          <w:rFonts w:asciiTheme="minorHAnsi" w:eastAsiaTheme="minorEastAsia" w:hAnsiTheme="minorHAnsi" w:cstheme="minorBidi"/>
          <w:szCs w:val="22"/>
          <w:lang w:eastAsia="en-GB"/>
        </w:rPr>
      </w:pPr>
      <w:hyperlink w:anchor="_Toc462908776" w:history="1">
        <w:r w:rsidRPr="00940AFA">
          <w:rPr>
            <w:rStyle w:val="Hyperlink"/>
          </w:rPr>
          <w:t>ESG conditions</w:t>
        </w:r>
        <w:r w:rsidRPr="00940AFA">
          <w:rPr>
            <w:rStyle w:val="Hyperlink"/>
          </w:rPr>
          <w:t xml:space="preserve"> precedent</w:t>
        </w:r>
        <w:r>
          <w:rPr>
            <w:webHidden/>
          </w:rPr>
          <w:tab/>
        </w:r>
        <w:r>
          <w:rPr>
            <w:webHidden/>
          </w:rPr>
          <w:fldChar w:fldCharType="begin"/>
        </w:r>
        <w:r>
          <w:rPr>
            <w:webHidden/>
          </w:rPr>
          <w:instrText xml:space="preserve"> PAGEREF _Toc462908776 \h </w:instrText>
        </w:r>
        <w:r>
          <w:rPr>
            <w:webHidden/>
          </w:rPr>
        </w:r>
        <w:r>
          <w:rPr>
            <w:webHidden/>
          </w:rPr>
          <w:fldChar w:fldCharType="separate"/>
        </w:r>
        <w:r>
          <w:rPr>
            <w:webHidden/>
          </w:rPr>
          <w:t>6</w:t>
        </w:r>
        <w:r>
          <w:rPr>
            <w:webHidden/>
          </w:rPr>
          <w:fldChar w:fldCharType="end"/>
        </w:r>
      </w:hyperlink>
    </w:p>
    <w:p w14:paraId="3FB01BCB" w14:textId="77777777" w:rsidR="00B0696D" w:rsidRDefault="000748BF">
      <w:pPr>
        <w:pStyle w:val="TOC2"/>
        <w:rPr>
          <w:rFonts w:asciiTheme="minorHAnsi" w:eastAsiaTheme="minorEastAsia" w:hAnsiTheme="minorHAnsi" w:cstheme="minorBidi"/>
          <w:szCs w:val="22"/>
          <w:lang w:eastAsia="en-GB"/>
        </w:rPr>
      </w:pPr>
      <w:hyperlink w:anchor="_Toc462908777" w:history="1">
        <w:r w:rsidRPr="00940AFA">
          <w:rPr>
            <w:rStyle w:val="Hyperlink"/>
          </w:rPr>
          <w:t>ESG representations and warranties</w:t>
        </w:r>
        <w:r>
          <w:rPr>
            <w:webHidden/>
          </w:rPr>
          <w:tab/>
        </w:r>
        <w:r>
          <w:rPr>
            <w:webHidden/>
          </w:rPr>
          <w:fldChar w:fldCharType="begin"/>
        </w:r>
        <w:r>
          <w:rPr>
            <w:webHidden/>
          </w:rPr>
          <w:instrText xml:space="preserve"> PAGEREF _Toc462908777 \h </w:instrText>
        </w:r>
        <w:r>
          <w:rPr>
            <w:webHidden/>
          </w:rPr>
        </w:r>
        <w:r>
          <w:rPr>
            <w:webHidden/>
          </w:rPr>
          <w:fldChar w:fldCharType="separate"/>
        </w:r>
        <w:r>
          <w:rPr>
            <w:webHidden/>
          </w:rPr>
          <w:t>6</w:t>
        </w:r>
        <w:r>
          <w:rPr>
            <w:webHidden/>
          </w:rPr>
          <w:fldChar w:fldCharType="end"/>
        </w:r>
      </w:hyperlink>
    </w:p>
    <w:p w14:paraId="3FB01BCC" w14:textId="77777777" w:rsidR="00B0696D" w:rsidRDefault="000748BF">
      <w:pPr>
        <w:pStyle w:val="TOC2"/>
        <w:rPr>
          <w:rFonts w:asciiTheme="minorHAnsi" w:eastAsiaTheme="minorEastAsia" w:hAnsiTheme="minorHAnsi" w:cstheme="minorBidi"/>
          <w:szCs w:val="22"/>
          <w:lang w:eastAsia="en-GB"/>
        </w:rPr>
      </w:pPr>
      <w:hyperlink w:anchor="_Toc462908778" w:history="1">
        <w:r w:rsidRPr="00940AFA">
          <w:rPr>
            <w:rStyle w:val="Hyperlink"/>
          </w:rPr>
          <w:t>ESG information rights</w:t>
        </w:r>
        <w:r>
          <w:rPr>
            <w:webHidden/>
          </w:rPr>
          <w:tab/>
        </w:r>
        <w:r>
          <w:rPr>
            <w:webHidden/>
          </w:rPr>
          <w:fldChar w:fldCharType="begin"/>
        </w:r>
        <w:r>
          <w:rPr>
            <w:webHidden/>
          </w:rPr>
          <w:instrText xml:space="preserve"> PAGEREF _Toc462908778 \h </w:instrText>
        </w:r>
        <w:r>
          <w:rPr>
            <w:webHidden/>
          </w:rPr>
        </w:r>
        <w:r>
          <w:rPr>
            <w:webHidden/>
          </w:rPr>
          <w:fldChar w:fldCharType="separate"/>
        </w:r>
        <w:r>
          <w:rPr>
            <w:webHidden/>
          </w:rPr>
          <w:t>8</w:t>
        </w:r>
        <w:r>
          <w:rPr>
            <w:webHidden/>
          </w:rPr>
          <w:fldChar w:fldCharType="end"/>
        </w:r>
      </w:hyperlink>
    </w:p>
    <w:p w14:paraId="3FB01BCD" w14:textId="77777777" w:rsidR="00B0696D" w:rsidRDefault="000748BF">
      <w:pPr>
        <w:pStyle w:val="TOC2"/>
        <w:rPr>
          <w:rFonts w:asciiTheme="minorHAnsi" w:eastAsiaTheme="minorEastAsia" w:hAnsiTheme="minorHAnsi" w:cstheme="minorBidi"/>
          <w:szCs w:val="22"/>
          <w:lang w:eastAsia="en-GB"/>
        </w:rPr>
      </w:pPr>
      <w:hyperlink w:anchor="_Toc462908779" w:history="1">
        <w:r w:rsidRPr="00940AFA">
          <w:rPr>
            <w:rStyle w:val="Hyperlink"/>
          </w:rPr>
          <w:t>ESG on-going covenants</w:t>
        </w:r>
        <w:r>
          <w:rPr>
            <w:webHidden/>
          </w:rPr>
          <w:tab/>
        </w:r>
        <w:r>
          <w:rPr>
            <w:webHidden/>
          </w:rPr>
          <w:fldChar w:fldCharType="begin"/>
        </w:r>
        <w:r>
          <w:rPr>
            <w:webHidden/>
          </w:rPr>
          <w:instrText xml:space="preserve"> PAGEREF _Toc462908779 \h </w:instrText>
        </w:r>
        <w:r>
          <w:rPr>
            <w:webHidden/>
          </w:rPr>
        </w:r>
        <w:r>
          <w:rPr>
            <w:webHidden/>
          </w:rPr>
          <w:fldChar w:fldCharType="separate"/>
        </w:r>
        <w:r>
          <w:rPr>
            <w:webHidden/>
          </w:rPr>
          <w:t>11</w:t>
        </w:r>
        <w:r>
          <w:rPr>
            <w:webHidden/>
          </w:rPr>
          <w:fldChar w:fldCharType="end"/>
        </w:r>
      </w:hyperlink>
    </w:p>
    <w:p w14:paraId="3FB01BCE" w14:textId="77777777" w:rsidR="00B0696D" w:rsidRDefault="000748BF">
      <w:pPr>
        <w:pStyle w:val="TOC2"/>
        <w:rPr>
          <w:rFonts w:asciiTheme="minorHAnsi" w:eastAsiaTheme="minorEastAsia" w:hAnsiTheme="minorHAnsi" w:cstheme="minorBidi"/>
          <w:szCs w:val="22"/>
          <w:lang w:eastAsia="en-GB"/>
        </w:rPr>
      </w:pPr>
      <w:hyperlink w:anchor="_Toc462908780" w:history="1">
        <w:r w:rsidRPr="00940AFA">
          <w:rPr>
            <w:rStyle w:val="Hyperlink"/>
          </w:rPr>
          <w:t>Board process</w:t>
        </w:r>
        <w:r>
          <w:rPr>
            <w:webHidden/>
          </w:rPr>
          <w:tab/>
        </w:r>
        <w:r>
          <w:rPr>
            <w:webHidden/>
          </w:rPr>
          <w:fldChar w:fldCharType="begin"/>
        </w:r>
        <w:r>
          <w:rPr>
            <w:webHidden/>
          </w:rPr>
          <w:instrText xml:space="preserve"> PAGEREF _Toc462908780 \h </w:instrText>
        </w:r>
        <w:r>
          <w:rPr>
            <w:webHidden/>
          </w:rPr>
        </w:r>
        <w:r>
          <w:rPr>
            <w:webHidden/>
          </w:rPr>
          <w:fldChar w:fldCharType="separate"/>
        </w:r>
        <w:r>
          <w:rPr>
            <w:webHidden/>
          </w:rPr>
          <w:t>11</w:t>
        </w:r>
        <w:r>
          <w:rPr>
            <w:webHidden/>
          </w:rPr>
          <w:fldChar w:fldCharType="end"/>
        </w:r>
      </w:hyperlink>
    </w:p>
    <w:p w14:paraId="3FB01BCF" w14:textId="77777777" w:rsidR="00B0696D" w:rsidRDefault="000748BF">
      <w:pPr>
        <w:pStyle w:val="TOC2"/>
        <w:rPr>
          <w:rFonts w:asciiTheme="minorHAnsi" w:eastAsiaTheme="minorEastAsia" w:hAnsiTheme="minorHAnsi" w:cstheme="minorBidi"/>
          <w:szCs w:val="22"/>
          <w:lang w:eastAsia="en-GB"/>
        </w:rPr>
      </w:pPr>
      <w:hyperlink w:anchor="_Toc462908781" w:history="1">
        <w:r w:rsidRPr="00940AFA">
          <w:rPr>
            <w:rStyle w:val="Hyperlink"/>
          </w:rPr>
          <w:t>Share transfers</w:t>
        </w:r>
        <w:r>
          <w:rPr>
            <w:webHidden/>
          </w:rPr>
          <w:tab/>
        </w:r>
        <w:r>
          <w:rPr>
            <w:webHidden/>
          </w:rPr>
          <w:fldChar w:fldCharType="begin"/>
        </w:r>
        <w:r>
          <w:rPr>
            <w:webHidden/>
          </w:rPr>
          <w:instrText xml:space="preserve"> PAGEREF _Toc462908781 \h </w:instrText>
        </w:r>
        <w:r>
          <w:rPr>
            <w:webHidden/>
          </w:rPr>
        </w:r>
        <w:r>
          <w:rPr>
            <w:webHidden/>
          </w:rPr>
          <w:fldChar w:fldCharType="separate"/>
        </w:r>
        <w:r>
          <w:rPr>
            <w:webHidden/>
          </w:rPr>
          <w:t>12</w:t>
        </w:r>
        <w:r>
          <w:rPr>
            <w:webHidden/>
          </w:rPr>
          <w:fldChar w:fldCharType="end"/>
        </w:r>
      </w:hyperlink>
    </w:p>
    <w:p w14:paraId="3FB01BD0" w14:textId="77777777" w:rsidR="00B0696D" w:rsidRDefault="000748BF">
      <w:pPr>
        <w:pStyle w:val="TOC2"/>
        <w:rPr>
          <w:rFonts w:asciiTheme="minorHAnsi" w:eastAsiaTheme="minorEastAsia" w:hAnsiTheme="minorHAnsi" w:cstheme="minorBidi"/>
          <w:szCs w:val="22"/>
          <w:lang w:eastAsia="en-GB"/>
        </w:rPr>
      </w:pPr>
      <w:hyperlink w:anchor="_Toc462908782" w:history="1">
        <w:r w:rsidRPr="00940AFA">
          <w:rPr>
            <w:rStyle w:val="Hyperlink"/>
          </w:rPr>
          <w:t>ESG Breach</w:t>
        </w:r>
        <w:r>
          <w:rPr>
            <w:webHidden/>
          </w:rPr>
          <w:tab/>
        </w:r>
        <w:r>
          <w:rPr>
            <w:webHidden/>
          </w:rPr>
          <w:fldChar w:fldCharType="begin"/>
        </w:r>
        <w:r>
          <w:rPr>
            <w:webHidden/>
          </w:rPr>
          <w:instrText xml:space="preserve"> PAGEREF _Toc462908782 \h </w:instrText>
        </w:r>
        <w:r>
          <w:rPr>
            <w:webHidden/>
          </w:rPr>
        </w:r>
        <w:r>
          <w:rPr>
            <w:webHidden/>
          </w:rPr>
          <w:fldChar w:fldCharType="separate"/>
        </w:r>
        <w:r>
          <w:rPr>
            <w:webHidden/>
          </w:rPr>
          <w:t>12</w:t>
        </w:r>
        <w:r>
          <w:rPr>
            <w:webHidden/>
          </w:rPr>
          <w:fldChar w:fldCharType="end"/>
        </w:r>
      </w:hyperlink>
    </w:p>
    <w:p w14:paraId="3FB01BD1" w14:textId="77777777" w:rsidR="00B0696D" w:rsidRPr="00B0696D" w:rsidRDefault="000748BF" w:rsidP="00B0696D">
      <w:pPr>
        <w:pStyle w:val="TOC3"/>
        <w:rPr>
          <w:rFonts w:eastAsiaTheme="minorEastAsia" w:cstheme="minorBidi"/>
          <w:sz w:val="22"/>
          <w:szCs w:val="22"/>
          <w:lang w:eastAsia="en-GB"/>
        </w:rPr>
      </w:pPr>
      <w:hyperlink w:anchor="_Toc462908783" w:history="1">
        <w:r w:rsidRPr="00B0696D">
          <w:rPr>
            <w:rStyle w:val="Hyperlink"/>
          </w:rPr>
          <w:t>Note: Consequences of ESG Breach</w:t>
        </w:r>
        <w:r w:rsidRPr="00B0696D">
          <w:rPr>
            <w:webHidden/>
          </w:rPr>
          <w:tab/>
        </w:r>
        <w:r w:rsidRPr="00B0696D">
          <w:rPr>
            <w:webHidden/>
          </w:rPr>
          <w:fldChar w:fldCharType="begin"/>
        </w:r>
        <w:r w:rsidRPr="00B0696D">
          <w:rPr>
            <w:webHidden/>
          </w:rPr>
          <w:instrText xml:space="preserve"> PAGEREF _Toc462908783 \h </w:instrText>
        </w:r>
        <w:r w:rsidRPr="00B0696D">
          <w:rPr>
            <w:webHidden/>
          </w:rPr>
        </w:r>
        <w:r w:rsidRPr="00B0696D">
          <w:rPr>
            <w:webHidden/>
          </w:rPr>
          <w:fldChar w:fldCharType="separate"/>
        </w:r>
        <w:r w:rsidRPr="00B0696D">
          <w:rPr>
            <w:webHidden/>
          </w:rPr>
          <w:t>13</w:t>
        </w:r>
        <w:r w:rsidRPr="00B0696D">
          <w:rPr>
            <w:webHidden/>
          </w:rPr>
          <w:fldChar w:fldCharType="end"/>
        </w:r>
      </w:hyperlink>
    </w:p>
    <w:p w14:paraId="3FB01BD2" w14:textId="77777777" w:rsidR="00B0696D" w:rsidRDefault="000748BF">
      <w:pPr>
        <w:pStyle w:val="TOC2"/>
        <w:rPr>
          <w:rFonts w:asciiTheme="minorHAnsi" w:eastAsiaTheme="minorEastAsia" w:hAnsiTheme="minorHAnsi" w:cstheme="minorBidi"/>
          <w:szCs w:val="22"/>
          <w:lang w:eastAsia="en-GB"/>
        </w:rPr>
      </w:pPr>
      <w:hyperlink w:anchor="_Toc462908784" w:history="1">
        <w:r w:rsidRPr="00940AFA">
          <w:rPr>
            <w:rStyle w:val="Hyperlink"/>
          </w:rPr>
          <w:t>ESG schedule</w:t>
        </w:r>
        <w:r>
          <w:rPr>
            <w:webHidden/>
          </w:rPr>
          <w:tab/>
        </w:r>
        <w:r>
          <w:rPr>
            <w:webHidden/>
          </w:rPr>
          <w:fldChar w:fldCharType="begin"/>
        </w:r>
        <w:r>
          <w:rPr>
            <w:webHidden/>
          </w:rPr>
          <w:instrText xml:space="preserve"> PAGEREF _Toc462908784 \h </w:instrText>
        </w:r>
        <w:r>
          <w:rPr>
            <w:webHidden/>
          </w:rPr>
        </w:r>
        <w:r>
          <w:rPr>
            <w:webHidden/>
          </w:rPr>
          <w:fldChar w:fldCharType="separate"/>
        </w:r>
        <w:r>
          <w:rPr>
            <w:webHidden/>
          </w:rPr>
          <w:t>14</w:t>
        </w:r>
        <w:r>
          <w:rPr>
            <w:webHidden/>
          </w:rPr>
          <w:fldChar w:fldCharType="end"/>
        </w:r>
      </w:hyperlink>
    </w:p>
    <w:p w14:paraId="3FB01BD3" w14:textId="77777777" w:rsidR="00B0696D" w:rsidRDefault="000748BF" w:rsidP="00B0696D">
      <w:pPr>
        <w:pStyle w:val="TOC3"/>
        <w:rPr>
          <w:rFonts w:asciiTheme="minorHAnsi" w:eastAsiaTheme="minorEastAsia" w:hAnsiTheme="minorHAnsi" w:cstheme="minorBidi"/>
          <w:sz w:val="22"/>
          <w:szCs w:val="22"/>
          <w:lang w:eastAsia="en-GB"/>
        </w:rPr>
      </w:pPr>
      <w:hyperlink w:anchor="_Toc462908785" w:history="1">
        <w:r w:rsidRPr="00940AFA">
          <w:rPr>
            <w:rStyle w:val="Hyperlink"/>
          </w:rPr>
          <w:t>Part A - ESG Requirements</w:t>
        </w:r>
        <w:r>
          <w:rPr>
            <w:webHidden/>
          </w:rPr>
          <w:tab/>
        </w:r>
        <w:r>
          <w:rPr>
            <w:webHidden/>
          </w:rPr>
          <w:fldChar w:fldCharType="begin"/>
        </w:r>
        <w:r>
          <w:rPr>
            <w:webHidden/>
          </w:rPr>
          <w:instrText xml:space="preserve"> PAGEREF _Toc462908785 \h </w:instrText>
        </w:r>
        <w:r>
          <w:rPr>
            <w:webHidden/>
          </w:rPr>
        </w:r>
        <w:r>
          <w:rPr>
            <w:webHidden/>
          </w:rPr>
          <w:fldChar w:fldCharType="separate"/>
        </w:r>
        <w:r>
          <w:rPr>
            <w:webHidden/>
          </w:rPr>
          <w:t>14</w:t>
        </w:r>
        <w:r>
          <w:rPr>
            <w:webHidden/>
          </w:rPr>
          <w:fldChar w:fldCharType="end"/>
        </w:r>
      </w:hyperlink>
    </w:p>
    <w:p w14:paraId="3FB01BD4" w14:textId="77777777" w:rsidR="00B0696D" w:rsidRDefault="000748BF" w:rsidP="00B0696D">
      <w:pPr>
        <w:pStyle w:val="TOC3"/>
        <w:rPr>
          <w:rFonts w:asciiTheme="minorHAnsi" w:eastAsiaTheme="minorEastAsia" w:hAnsiTheme="minorHAnsi" w:cstheme="minorBidi"/>
          <w:sz w:val="22"/>
          <w:szCs w:val="22"/>
          <w:lang w:eastAsia="en-GB"/>
        </w:rPr>
      </w:pPr>
      <w:hyperlink w:anchor="_Toc462908786" w:history="1">
        <w:r w:rsidRPr="00940AFA">
          <w:rPr>
            <w:rStyle w:val="Hyperlink"/>
          </w:rPr>
          <w:t>Part B - Exclusion List</w:t>
        </w:r>
        <w:r>
          <w:rPr>
            <w:webHidden/>
          </w:rPr>
          <w:tab/>
        </w:r>
        <w:r>
          <w:rPr>
            <w:webHidden/>
          </w:rPr>
          <w:fldChar w:fldCharType="begin"/>
        </w:r>
        <w:r>
          <w:rPr>
            <w:webHidden/>
          </w:rPr>
          <w:instrText xml:space="preserve"> PAGEREF _Toc462908786 \h </w:instrText>
        </w:r>
        <w:r>
          <w:rPr>
            <w:webHidden/>
          </w:rPr>
        </w:r>
        <w:r>
          <w:rPr>
            <w:webHidden/>
          </w:rPr>
          <w:fldChar w:fldCharType="separate"/>
        </w:r>
        <w:r>
          <w:rPr>
            <w:webHidden/>
          </w:rPr>
          <w:t>20</w:t>
        </w:r>
        <w:r>
          <w:rPr>
            <w:webHidden/>
          </w:rPr>
          <w:fldChar w:fldCharType="end"/>
        </w:r>
      </w:hyperlink>
    </w:p>
    <w:p w14:paraId="3FB01BD5" w14:textId="77777777" w:rsidR="00B0696D" w:rsidRDefault="000748BF" w:rsidP="00B0696D">
      <w:pPr>
        <w:pStyle w:val="TOC3"/>
        <w:rPr>
          <w:rFonts w:asciiTheme="minorHAnsi" w:eastAsiaTheme="minorEastAsia" w:hAnsiTheme="minorHAnsi" w:cstheme="minorBidi"/>
          <w:sz w:val="22"/>
          <w:szCs w:val="22"/>
          <w:lang w:eastAsia="en-GB"/>
        </w:rPr>
      </w:pPr>
      <w:hyperlink w:anchor="_Toc462908787" w:history="1">
        <w:r w:rsidRPr="00940AFA">
          <w:rPr>
            <w:rStyle w:val="Hyperlink"/>
          </w:rPr>
          <w:t>Part C - Serious Incident Report</w:t>
        </w:r>
        <w:r>
          <w:rPr>
            <w:webHidden/>
          </w:rPr>
          <w:tab/>
        </w:r>
        <w:r>
          <w:rPr>
            <w:webHidden/>
          </w:rPr>
          <w:fldChar w:fldCharType="begin"/>
        </w:r>
        <w:r>
          <w:rPr>
            <w:webHidden/>
          </w:rPr>
          <w:instrText xml:space="preserve"> PAGEREF _Toc462908787 \h </w:instrText>
        </w:r>
        <w:r>
          <w:rPr>
            <w:webHidden/>
          </w:rPr>
        </w:r>
        <w:r>
          <w:rPr>
            <w:webHidden/>
          </w:rPr>
          <w:fldChar w:fldCharType="separate"/>
        </w:r>
        <w:r>
          <w:rPr>
            <w:webHidden/>
          </w:rPr>
          <w:t>21</w:t>
        </w:r>
        <w:r>
          <w:rPr>
            <w:webHidden/>
          </w:rPr>
          <w:fldChar w:fldCharType="end"/>
        </w:r>
      </w:hyperlink>
    </w:p>
    <w:p w14:paraId="3FB01BD6" w14:textId="77777777" w:rsidR="00B0696D" w:rsidRDefault="000748BF" w:rsidP="00B0696D">
      <w:pPr>
        <w:pStyle w:val="TOC3"/>
        <w:rPr>
          <w:rFonts w:asciiTheme="minorHAnsi" w:eastAsiaTheme="minorEastAsia" w:hAnsiTheme="minorHAnsi" w:cstheme="minorBidi"/>
          <w:sz w:val="22"/>
          <w:szCs w:val="22"/>
          <w:lang w:eastAsia="en-GB"/>
        </w:rPr>
      </w:pPr>
      <w:hyperlink w:anchor="_Toc462908788" w:history="1">
        <w:r w:rsidRPr="00940AFA">
          <w:rPr>
            <w:rStyle w:val="Hyperlink"/>
            <w:i/>
          </w:rPr>
          <w:t>Part D - High Risk Client industry sectors</w:t>
        </w:r>
        <w:r>
          <w:rPr>
            <w:webHidden/>
          </w:rPr>
          <w:tab/>
        </w:r>
        <w:r>
          <w:rPr>
            <w:webHidden/>
          </w:rPr>
          <w:fldChar w:fldCharType="begin"/>
        </w:r>
        <w:r>
          <w:rPr>
            <w:webHidden/>
          </w:rPr>
          <w:instrText xml:space="preserve"> PAGEREF _Toc462908788 \h </w:instrText>
        </w:r>
        <w:r>
          <w:rPr>
            <w:webHidden/>
          </w:rPr>
        </w:r>
        <w:r>
          <w:rPr>
            <w:webHidden/>
          </w:rPr>
          <w:fldChar w:fldCharType="separate"/>
        </w:r>
        <w:r>
          <w:rPr>
            <w:webHidden/>
          </w:rPr>
          <w:t>22</w:t>
        </w:r>
        <w:r>
          <w:rPr>
            <w:webHidden/>
          </w:rPr>
          <w:fldChar w:fldCharType="end"/>
        </w:r>
      </w:hyperlink>
    </w:p>
    <w:p w14:paraId="3FB01BD7" w14:textId="77777777" w:rsidR="00B0696D" w:rsidRDefault="000748BF" w:rsidP="00B0696D">
      <w:pPr>
        <w:pStyle w:val="TOC3"/>
        <w:rPr>
          <w:rFonts w:asciiTheme="minorHAnsi" w:eastAsiaTheme="minorEastAsia" w:hAnsiTheme="minorHAnsi" w:cstheme="minorBidi"/>
          <w:sz w:val="22"/>
          <w:szCs w:val="22"/>
          <w:lang w:eastAsia="en-GB"/>
        </w:rPr>
      </w:pPr>
      <w:hyperlink w:anchor="_Toc462908789" w:history="1">
        <w:r w:rsidRPr="00940AFA">
          <w:rPr>
            <w:rStyle w:val="Hyperlink"/>
            <w:i/>
          </w:rPr>
          <w:t>Part E - ESG management system for financial institutions</w:t>
        </w:r>
        <w:r>
          <w:rPr>
            <w:webHidden/>
          </w:rPr>
          <w:tab/>
        </w:r>
        <w:r>
          <w:rPr>
            <w:webHidden/>
          </w:rPr>
          <w:fldChar w:fldCharType="begin"/>
        </w:r>
        <w:r>
          <w:rPr>
            <w:webHidden/>
          </w:rPr>
          <w:instrText xml:space="preserve"> PAGEREF _Toc462908789 \h </w:instrText>
        </w:r>
        <w:r>
          <w:rPr>
            <w:webHidden/>
          </w:rPr>
        </w:r>
        <w:r>
          <w:rPr>
            <w:webHidden/>
          </w:rPr>
          <w:fldChar w:fldCharType="separate"/>
        </w:r>
        <w:r>
          <w:rPr>
            <w:webHidden/>
          </w:rPr>
          <w:t>23</w:t>
        </w:r>
        <w:r>
          <w:rPr>
            <w:webHidden/>
          </w:rPr>
          <w:fldChar w:fldCharType="end"/>
        </w:r>
      </w:hyperlink>
    </w:p>
    <w:p w14:paraId="3FB01BD8" w14:textId="77777777" w:rsidR="00FC607D" w:rsidRPr="00465916" w:rsidRDefault="000748BF" w:rsidP="000400EC">
      <w:pPr>
        <w:pStyle w:val="Notes"/>
        <w:jc w:val="both"/>
        <w:rPr>
          <w:rFonts w:ascii="Georgia" w:hAnsi="Georgia"/>
        </w:rPr>
      </w:pPr>
      <w:r w:rsidRPr="00465916">
        <w:rPr>
          <w:rFonts w:ascii="Georgia" w:hAnsi="Georgia"/>
        </w:rPr>
        <w:fldChar w:fldCharType="end"/>
      </w:r>
    </w:p>
    <w:p w14:paraId="3FB01BD9" w14:textId="77777777" w:rsidR="009E2301" w:rsidRPr="0011015D" w:rsidRDefault="000748BF" w:rsidP="00FC607D">
      <w:pPr>
        <w:pStyle w:val="Notes"/>
        <w:jc w:val="both"/>
        <w:rPr>
          <w:rFonts w:ascii="Georgia" w:hAnsi="Georgia"/>
          <w:color w:val="auto"/>
          <w:sz w:val="18"/>
        </w:rPr>
      </w:pPr>
    </w:p>
    <w:p w14:paraId="3FB01BDA" w14:textId="77777777" w:rsidR="00FC607D" w:rsidRPr="0011015D" w:rsidRDefault="000748BF" w:rsidP="00FC607D">
      <w:pPr>
        <w:pStyle w:val="Notes"/>
        <w:jc w:val="both"/>
        <w:rPr>
          <w:rFonts w:ascii="Georgia" w:hAnsi="Georgia"/>
          <w:color w:val="auto"/>
          <w:sz w:val="18"/>
        </w:rPr>
      </w:pPr>
      <w:r w:rsidRPr="0011015D">
        <w:rPr>
          <w:rFonts w:ascii="Georgia" w:hAnsi="Georgia"/>
          <w:color w:val="auto"/>
          <w:sz w:val="18"/>
        </w:rPr>
        <w:t xml:space="preserve">Last updated: </w:t>
      </w:r>
      <w:r>
        <w:rPr>
          <w:rFonts w:ascii="Georgia" w:hAnsi="Georgia"/>
          <w:color w:val="auto"/>
          <w:sz w:val="18"/>
        </w:rPr>
        <w:t>29 September</w:t>
      </w:r>
      <w:r w:rsidRPr="0011015D">
        <w:rPr>
          <w:rFonts w:ascii="Georgia" w:hAnsi="Georgia"/>
          <w:color w:val="auto"/>
          <w:sz w:val="18"/>
        </w:rPr>
        <w:t xml:space="preserve"> </w:t>
      </w:r>
      <w:r w:rsidRPr="0011015D">
        <w:rPr>
          <w:rFonts w:ascii="Georgia" w:hAnsi="Georgia"/>
          <w:color w:val="auto"/>
          <w:sz w:val="18"/>
        </w:rPr>
        <w:t>2016</w:t>
      </w:r>
    </w:p>
    <w:p w14:paraId="3FB01BDB" w14:textId="77777777" w:rsidR="000400EC" w:rsidRPr="00465916" w:rsidRDefault="000748BF">
      <w:pPr>
        <w:spacing w:line="240" w:lineRule="auto"/>
        <w:rPr>
          <w:rFonts w:ascii="Georgia" w:hAnsi="Georgia"/>
          <w:b/>
          <w:color w:val="984806" w:themeColor="accent6" w:themeShade="80"/>
          <w:szCs w:val="22"/>
        </w:rPr>
      </w:pPr>
    </w:p>
    <w:p w14:paraId="3FB01BDC" w14:textId="77777777" w:rsidR="000400EC" w:rsidRPr="00465916" w:rsidRDefault="000748BF">
      <w:pPr>
        <w:spacing w:line="240" w:lineRule="auto"/>
        <w:rPr>
          <w:rFonts w:ascii="Georgia" w:hAnsi="Georgia"/>
          <w:b/>
          <w:color w:val="984806" w:themeColor="accent6" w:themeShade="80"/>
          <w:szCs w:val="22"/>
        </w:rPr>
      </w:pPr>
      <w:r w:rsidRPr="00465916">
        <w:rPr>
          <w:rFonts w:ascii="Georgia" w:hAnsi="Georgia"/>
          <w:b/>
          <w:color w:val="984806" w:themeColor="accent6" w:themeShade="80"/>
        </w:rPr>
        <w:br w:type="page"/>
      </w:r>
    </w:p>
    <w:p w14:paraId="3FB01BDD" w14:textId="77777777" w:rsidR="008F0272" w:rsidRPr="00465916" w:rsidRDefault="000748BF" w:rsidP="004A1FE2">
      <w:pPr>
        <w:pStyle w:val="Heading2"/>
        <w:rPr>
          <w:rFonts w:ascii="Georgia" w:hAnsi="Georgia"/>
        </w:rPr>
      </w:pPr>
      <w:bookmarkStart w:id="0" w:name="_Toc462908774"/>
      <w:r w:rsidRPr="00465916">
        <w:rPr>
          <w:rFonts w:ascii="Georgia" w:hAnsi="Georgia"/>
        </w:rPr>
        <w:lastRenderedPageBreak/>
        <w:t>I</w:t>
      </w:r>
      <w:r w:rsidRPr="00465916">
        <w:rPr>
          <w:rFonts w:ascii="Georgia" w:hAnsi="Georgia"/>
        </w:rPr>
        <w:t>ntroduction</w:t>
      </w:r>
      <w:bookmarkEnd w:id="0"/>
    </w:p>
    <w:p w14:paraId="3FB01BDE" w14:textId="77777777" w:rsidR="008C55F5" w:rsidRPr="0011015D" w:rsidRDefault="000748BF" w:rsidP="008C6505">
      <w:pPr>
        <w:pStyle w:val="Clausetext1"/>
      </w:pPr>
      <w:r w:rsidRPr="0011015D">
        <w:t xml:space="preserve">This Drafting Guide is for lawyers acting for </w:t>
      </w:r>
      <w:r w:rsidRPr="00465916">
        <w:t>funds or fund manager</w:t>
      </w:r>
      <w:r>
        <w:t>s</w:t>
      </w:r>
      <w:r w:rsidRPr="0011015D">
        <w:t xml:space="preserve"> on equity investments.  It contains suggested wording to cover </w:t>
      </w:r>
      <w:r w:rsidRPr="00465916">
        <w:t>environmental, social and governance matters for inclusion</w:t>
      </w:r>
      <w:r w:rsidRPr="0011015D">
        <w:t xml:space="preserve"> in</w:t>
      </w:r>
      <w:r>
        <w:t xml:space="preserve"> </w:t>
      </w:r>
      <w:r w:rsidRPr="0011015D">
        <w:t>investment documentation.  Please refer to the detailed notes</w:t>
      </w:r>
      <w:r w:rsidRPr="0011015D">
        <w:t xml:space="preserve"> for more information on the purpose and use of these clauses.  </w:t>
      </w:r>
    </w:p>
    <w:p w14:paraId="3FB01BDF" w14:textId="080C2637" w:rsidR="000400EC" w:rsidRPr="00465916" w:rsidRDefault="000748BF" w:rsidP="000400EC">
      <w:pPr>
        <w:pStyle w:val="BodyText"/>
        <w:spacing w:after="240"/>
        <w:rPr>
          <w:rFonts w:ascii="Georgia" w:hAnsi="Georgia" w:cs="Arial"/>
          <w:szCs w:val="22"/>
        </w:rPr>
      </w:pPr>
      <w:r w:rsidRPr="00465916">
        <w:rPr>
          <w:rFonts w:ascii="Georgia" w:hAnsi="Georgia" w:cs="Arial"/>
          <w:szCs w:val="22"/>
        </w:rPr>
        <w:t>The clauses in this drafting guide are designed to meet CDC’s requirements for environmental, social and governance (ESG) compliance.  Although there is considerable overlap with the requirem</w:t>
      </w:r>
      <w:r w:rsidRPr="00465916">
        <w:rPr>
          <w:rFonts w:ascii="Georgia" w:hAnsi="Georgia" w:cs="Arial"/>
          <w:szCs w:val="22"/>
        </w:rPr>
        <w:t xml:space="preserve">ents of other development finance institutions, the principal source of the underlying standards is </w:t>
      </w:r>
      <w:r w:rsidRPr="000748BF">
        <w:rPr>
          <w:rFonts w:ascii="Georgia" w:hAnsi="Georgia" w:cs="Arial"/>
          <w:szCs w:val="22"/>
        </w:rPr>
        <w:t>CDC’s Code of Res</w:t>
      </w:r>
      <w:bookmarkStart w:id="1" w:name="_GoBack"/>
      <w:bookmarkEnd w:id="1"/>
      <w:r w:rsidRPr="000748BF">
        <w:rPr>
          <w:rFonts w:ascii="Georgia" w:hAnsi="Georgia" w:cs="Arial"/>
          <w:szCs w:val="22"/>
        </w:rPr>
        <w:t>ponsible In</w:t>
      </w:r>
      <w:r w:rsidRPr="000748BF">
        <w:rPr>
          <w:rFonts w:ascii="Georgia" w:hAnsi="Georgia" w:cs="Arial"/>
          <w:szCs w:val="22"/>
        </w:rPr>
        <w:t>vesting</w:t>
      </w:r>
      <w:r w:rsidRPr="00465916">
        <w:rPr>
          <w:rFonts w:ascii="Georgia" w:hAnsi="Georgia" w:cs="Arial"/>
          <w:szCs w:val="22"/>
        </w:rPr>
        <w:t>.</w:t>
      </w:r>
    </w:p>
    <w:p w14:paraId="3FB01BE0" w14:textId="77777777" w:rsidR="004A1FE2" w:rsidRPr="007E328F" w:rsidRDefault="000748BF" w:rsidP="000400EC">
      <w:pPr>
        <w:pStyle w:val="BodyText"/>
        <w:spacing w:after="240"/>
        <w:rPr>
          <w:rFonts w:ascii="Georgia" w:hAnsi="Georgia" w:cs="Arial"/>
          <w:szCs w:val="22"/>
        </w:rPr>
      </w:pPr>
      <w:r w:rsidRPr="007E328F">
        <w:rPr>
          <w:rFonts w:ascii="Georgia" w:hAnsi="Georgia" w:cs="Arial"/>
          <w:szCs w:val="22"/>
        </w:rPr>
        <w:t>The clauses should be inserted into the investment documentation for equity investments.</w:t>
      </w:r>
      <w:r w:rsidRPr="007E328F">
        <w:rPr>
          <w:rFonts w:ascii="Georgia" w:hAnsi="Georgia" w:cs="Arial"/>
          <w:szCs w:val="22"/>
        </w:rPr>
        <w:t xml:space="preserve">  Additional options are included for investments into financial institutions, which are generally </w:t>
      </w:r>
      <w:r w:rsidRPr="007E328F">
        <w:rPr>
          <w:rFonts w:ascii="Georgia" w:hAnsi="Georgia" w:cs="Arial"/>
          <w:i/>
          <w:szCs w:val="22"/>
        </w:rPr>
        <w:t>in italics</w:t>
      </w:r>
      <w:r w:rsidRPr="007E328F">
        <w:rPr>
          <w:rFonts w:ascii="Georgia" w:hAnsi="Georgia" w:cs="Arial"/>
          <w:szCs w:val="22"/>
        </w:rPr>
        <w:t xml:space="preserve">.  </w:t>
      </w:r>
      <w:r w:rsidRPr="007E328F">
        <w:rPr>
          <w:rFonts w:ascii="Georgia" w:hAnsi="Georgia" w:cs="Arial"/>
          <w:szCs w:val="22"/>
        </w:rPr>
        <w:t xml:space="preserve">For financial institutions, the additional </w:t>
      </w:r>
      <w:r w:rsidRPr="007E328F">
        <w:rPr>
          <w:rFonts w:ascii="Georgia" w:hAnsi="Georgia" w:cs="Arial"/>
          <w:szCs w:val="22"/>
        </w:rPr>
        <w:t>requirements are intended to require the institution to screen its clients for ESG risks and apply certain elements of the ESG requirements to the institution’s own clients.</w:t>
      </w:r>
    </w:p>
    <w:p w14:paraId="3FB01BE1" w14:textId="77777777" w:rsidR="00FC607D" w:rsidRPr="0011015D" w:rsidRDefault="000748BF" w:rsidP="008C6505">
      <w:pPr>
        <w:pStyle w:val="Clausetext1"/>
      </w:pPr>
      <w:r w:rsidRPr="00CB3E89">
        <w:rPr>
          <w:rFonts w:cs="Arial"/>
        </w:rPr>
        <w:t>This guide</w:t>
      </w:r>
      <w:r w:rsidRPr="0011015D">
        <w:t xml:space="preserve"> is not intended to be a complete investment or shareholders agreement, </w:t>
      </w:r>
      <w:r w:rsidRPr="0011015D">
        <w:t>nor is it an exhaustive list of what CDC</w:t>
      </w:r>
      <w:r w:rsidRPr="00CB3E89">
        <w:rPr>
          <w:rFonts w:cs="Arial"/>
        </w:rPr>
        <w:t>, as a direct investor or limited partner in a fund, would expect</w:t>
      </w:r>
      <w:r w:rsidRPr="0011015D">
        <w:t xml:space="preserve"> to see in such an agreement.  </w:t>
      </w:r>
      <w:r w:rsidRPr="00CB3E89">
        <w:rPr>
          <w:rFonts w:cs="Arial"/>
        </w:rPr>
        <w:t>The drafting is intended to supplement</w:t>
      </w:r>
      <w:r w:rsidRPr="0011015D">
        <w:t xml:space="preserve"> customary shareholder protections for a minority equity investor (such as board s</w:t>
      </w:r>
      <w:r w:rsidRPr="0011015D">
        <w:t xml:space="preserve">eats, veto rights, tag-alongs etc).  As with any precedent, it will require adaptation to the circumstances of the transaction, the definitions used in the underlying investment document and any local legal requirements. </w:t>
      </w:r>
    </w:p>
    <w:p w14:paraId="3FB01BE2" w14:textId="77777777" w:rsidR="000400EC" w:rsidRPr="00CB3E89" w:rsidRDefault="000748BF" w:rsidP="000400EC">
      <w:pPr>
        <w:pStyle w:val="BodyText"/>
        <w:spacing w:after="240"/>
        <w:rPr>
          <w:rFonts w:ascii="Georgia" w:hAnsi="Georgia" w:cs="Arial"/>
          <w:szCs w:val="22"/>
        </w:rPr>
      </w:pPr>
      <w:r w:rsidRPr="00CB3E89">
        <w:rPr>
          <w:rFonts w:ascii="Georgia" w:hAnsi="Georgia" w:cs="Arial"/>
          <w:szCs w:val="22"/>
        </w:rPr>
        <w:t>The drafting assumes the requireme</w:t>
      </w:r>
      <w:r w:rsidRPr="00CB3E89">
        <w:rPr>
          <w:rFonts w:ascii="Georgia" w:hAnsi="Georgia" w:cs="Arial"/>
          <w:szCs w:val="22"/>
        </w:rPr>
        <w:t>nts should apply to the entire Group (</w:t>
      </w:r>
      <w:r w:rsidRPr="00CB3E89">
        <w:rPr>
          <w:rFonts w:ascii="Georgia" w:hAnsi="Georgia" w:cs="Arial"/>
          <w:szCs w:val="22"/>
        </w:rPr>
        <w:t xml:space="preserve">i.e. the portfolio company and any present or future </w:t>
      </w:r>
      <w:r w:rsidRPr="00CB3E89">
        <w:rPr>
          <w:rFonts w:ascii="Georgia" w:hAnsi="Georgia" w:cs="Arial"/>
          <w:szCs w:val="22"/>
        </w:rPr>
        <w:t>subsidiaries) through the “Group Company” expression.</w:t>
      </w:r>
      <w:r w:rsidRPr="00CB3E89">
        <w:rPr>
          <w:rFonts w:ascii="Georgia" w:hAnsi="Georgia" w:cs="Arial"/>
          <w:szCs w:val="22"/>
        </w:rPr>
        <w:t xml:space="preserve">  A definition of ‘Group’ is included, but most standard investment agreements should include such a concept.</w:t>
      </w:r>
    </w:p>
    <w:p w14:paraId="3FB01BE3" w14:textId="77777777" w:rsidR="000400EC" w:rsidRPr="00CB3E89" w:rsidRDefault="000748BF" w:rsidP="000400EC">
      <w:pPr>
        <w:pStyle w:val="BodyText"/>
        <w:spacing w:after="240"/>
        <w:rPr>
          <w:rFonts w:ascii="Georgia" w:hAnsi="Georgia" w:cs="Arial"/>
          <w:szCs w:val="22"/>
        </w:rPr>
      </w:pPr>
      <w:r w:rsidRPr="00CB3E89">
        <w:rPr>
          <w:rFonts w:ascii="Georgia" w:hAnsi="Georgia" w:cs="Arial"/>
          <w:szCs w:val="22"/>
        </w:rPr>
        <w:t>Th</w:t>
      </w:r>
      <w:r w:rsidRPr="00CB3E89">
        <w:rPr>
          <w:rFonts w:ascii="Georgia" w:hAnsi="Georgia" w:cs="Arial"/>
          <w:szCs w:val="22"/>
        </w:rPr>
        <w:t xml:space="preserve">e </w:t>
      </w:r>
      <w:r w:rsidRPr="00CB3E89">
        <w:rPr>
          <w:rFonts w:ascii="Georgia" w:hAnsi="Georgia" w:cs="Arial"/>
          <w:szCs w:val="22"/>
        </w:rPr>
        <w:t>‘</w:t>
      </w:r>
      <w:r w:rsidRPr="00CB3E89">
        <w:rPr>
          <w:rFonts w:ascii="Georgia" w:hAnsi="Georgia" w:cs="Arial"/>
          <w:szCs w:val="22"/>
        </w:rPr>
        <w:t>Agreed Form</w:t>
      </w:r>
      <w:r w:rsidRPr="00CB3E89">
        <w:rPr>
          <w:rFonts w:ascii="Georgia" w:hAnsi="Georgia" w:cs="Arial"/>
          <w:szCs w:val="22"/>
        </w:rPr>
        <w:t>’</w:t>
      </w:r>
      <w:r w:rsidRPr="00CB3E89">
        <w:rPr>
          <w:rFonts w:ascii="Georgia" w:hAnsi="Georgia" w:cs="Arial"/>
          <w:szCs w:val="22"/>
        </w:rPr>
        <w:t xml:space="preserve"> documents referred to in this guidance are:</w:t>
      </w:r>
    </w:p>
    <w:p w14:paraId="3FB01BE4" w14:textId="77777777" w:rsidR="000400EC" w:rsidRPr="007E328F" w:rsidRDefault="000748BF" w:rsidP="003756C4">
      <w:pPr>
        <w:pStyle w:val="BodyText"/>
        <w:numPr>
          <w:ilvl w:val="0"/>
          <w:numId w:val="14"/>
        </w:numPr>
        <w:spacing w:after="120"/>
        <w:ind w:hanging="720"/>
        <w:rPr>
          <w:rFonts w:ascii="Georgia" w:hAnsi="Georgia" w:cs="Arial"/>
          <w:szCs w:val="22"/>
        </w:rPr>
      </w:pPr>
      <w:r w:rsidRPr="007E328F">
        <w:rPr>
          <w:rFonts w:ascii="Georgia" w:hAnsi="Georgia" w:cs="Arial"/>
          <w:szCs w:val="22"/>
        </w:rPr>
        <w:t xml:space="preserve">ESG Action Plan (this may be part of a broader </w:t>
      </w:r>
      <w:r w:rsidRPr="007E328F">
        <w:rPr>
          <w:rFonts w:ascii="Georgia" w:hAnsi="Georgia" w:cs="Arial"/>
          <w:szCs w:val="22"/>
        </w:rPr>
        <w:t>diligence a</w:t>
      </w:r>
      <w:r w:rsidRPr="007E328F">
        <w:rPr>
          <w:rFonts w:ascii="Georgia" w:hAnsi="Georgia" w:cs="Arial"/>
          <w:szCs w:val="22"/>
        </w:rPr>
        <w:t xml:space="preserve">ction </w:t>
      </w:r>
      <w:r w:rsidRPr="007E328F">
        <w:rPr>
          <w:rFonts w:ascii="Georgia" w:hAnsi="Georgia" w:cs="Arial"/>
          <w:szCs w:val="22"/>
        </w:rPr>
        <w:t>p</w:t>
      </w:r>
      <w:r w:rsidRPr="007E328F">
        <w:rPr>
          <w:rFonts w:ascii="Georgia" w:hAnsi="Georgia" w:cs="Arial"/>
          <w:szCs w:val="22"/>
        </w:rPr>
        <w:t>lan or 100-day plan)</w:t>
      </w:r>
    </w:p>
    <w:p w14:paraId="3FB01BE5" w14:textId="77777777" w:rsidR="00FC607D" w:rsidRPr="007E328F" w:rsidRDefault="000748BF" w:rsidP="00586D14">
      <w:pPr>
        <w:pStyle w:val="BodyText"/>
        <w:numPr>
          <w:ilvl w:val="0"/>
          <w:numId w:val="14"/>
        </w:numPr>
        <w:spacing w:after="120"/>
        <w:ind w:hanging="720"/>
        <w:rPr>
          <w:rFonts w:ascii="Georgia" w:hAnsi="Georgia" w:cs="Arial"/>
          <w:szCs w:val="22"/>
        </w:rPr>
      </w:pPr>
      <w:r w:rsidRPr="007E328F">
        <w:rPr>
          <w:rFonts w:ascii="Georgia" w:hAnsi="Georgia" w:cs="Arial"/>
          <w:szCs w:val="22"/>
          <w:lang w:eastAsia="zh-CN"/>
        </w:rPr>
        <w:t>ESG monitoring report</w:t>
      </w:r>
    </w:p>
    <w:p w14:paraId="3FB01BE6" w14:textId="77777777" w:rsidR="00FC607D" w:rsidRPr="007E328F" w:rsidRDefault="000748BF" w:rsidP="003756C4">
      <w:pPr>
        <w:pStyle w:val="BodyText"/>
        <w:numPr>
          <w:ilvl w:val="0"/>
          <w:numId w:val="14"/>
        </w:numPr>
        <w:spacing w:after="120"/>
        <w:ind w:hanging="720"/>
        <w:rPr>
          <w:rFonts w:ascii="Georgia" w:hAnsi="Georgia" w:cs="Arial"/>
          <w:szCs w:val="22"/>
        </w:rPr>
      </w:pPr>
      <w:r w:rsidRPr="007E328F">
        <w:rPr>
          <w:rFonts w:ascii="Georgia" w:hAnsi="Georgia" w:cs="Arial"/>
          <w:szCs w:val="22"/>
        </w:rPr>
        <w:t>Anti-bribery and corruption policy</w:t>
      </w:r>
      <w:r w:rsidRPr="007E328F">
        <w:rPr>
          <w:rFonts w:ascii="Georgia" w:hAnsi="Georgia" w:cs="Arial"/>
          <w:szCs w:val="22"/>
        </w:rPr>
        <w:t xml:space="preserve"> (if no such policies exist at the target company, CDC typically makes the adoption of new policies a condition precedent of its investment)</w:t>
      </w:r>
    </w:p>
    <w:p w14:paraId="3FB01BE7" w14:textId="77777777" w:rsidR="00FC607D" w:rsidRPr="007E328F" w:rsidRDefault="000748BF" w:rsidP="00586D14">
      <w:pPr>
        <w:pStyle w:val="BodyText"/>
        <w:numPr>
          <w:ilvl w:val="0"/>
          <w:numId w:val="14"/>
        </w:numPr>
        <w:spacing w:after="120"/>
        <w:ind w:hanging="720"/>
        <w:rPr>
          <w:rFonts w:ascii="Georgia" w:hAnsi="Georgia" w:cs="Arial"/>
          <w:szCs w:val="22"/>
        </w:rPr>
      </w:pPr>
      <w:r w:rsidRPr="007E328F">
        <w:rPr>
          <w:rFonts w:ascii="Georgia" w:hAnsi="Georgia" w:cs="Arial"/>
          <w:szCs w:val="22"/>
        </w:rPr>
        <w:t>Whistleblowing policy</w:t>
      </w:r>
    </w:p>
    <w:p w14:paraId="3FB01BE8" w14:textId="77777777" w:rsidR="000400EC" w:rsidRPr="00465916" w:rsidRDefault="000748BF" w:rsidP="000400EC">
      <w:pPr>
        <w:pStyle w:val="BodyText"/>
        <w:spacing w:after="240"/>
        <w:rPr>
          <w:rFonts w:ascii="Georgia" w:hAnsi="Georgia" w:cs="Arial"/>
          <w:color w:val="000000" w:themeColor="text1"/>
          <w:szCs w:val="22"/>
        </w:rPr>
      </w:pPr>
      <w:r w:rsidRPr="00CB3E89">
        <w:rPr>
          <w:rFonts w:ascii="Georgia" w:hAnsi="Georgia" w:cs="Arial"/>
          <w:szCs w:val="22"/>
        </w:rPr>
        <w:t xml:space="preserve">The ESG Action Plan is a document </w:t>
      </w:r>
      <w:r w:rsidRPr="00465916">
        <w:rPr>
          <w:rFonts w:ascii="Georgia" w:hAnsi="Georgia" w:cs="Arial"/>
          <w:color w:val="000000" w:themeColor="text1"/>
          <w:szCs w:val="22"/>
        </w:rPr>
        <w:t>prepared following due diligence incorporating the main ste</w:t>
      </w:r>
      <w:r w:rsidRPr="00465916">
        <w:rPr>
          <w:rFonts w:ascii="Georgia" w:hAnsi="Georgia" w:cs="Arial"/>
          <w:color w:val="000000" w:themeColor="text1"/>
          <w:szCs w:val="22"/>
        </w:rPr>
        <w:t xml:space="preserve">ps required of the portfolio company to bring it into compliance with the </w:t>
      </w:r>
      <w:r w:rsidRPr="00465916">
        <w:rPr>
          <w:rFonts w:ascii="Georgia" w:hAnsi="Georgia" w:cs="Arial"/>
          <w:color w:val="000000" w:themeColor="text1"/>
          <w:szCs w:val="22"/>
        </w:rPr>
        <w:t xml:space="preserve">ESG </w:t>
      </w:r>
      <w:r w:rsidRPr="00465916">
        <w:rPr>
          <w:rFonts w:ascii="Georgia" w:hAnsi="Georgia" w:cs="Arial"/>
          <w:color w:val="000000" w:themeColor="text1"/>
          <w:szCs w:val="22"/>
        </w:rPr>
        <w:t xml:space="preserve">standards.   </w:t>
      </w:r>
    </w:p>
    <w:p w14:paraId="3FB01BE9" w14:textId="77777777" w:rsidR="008C55F5" w:rsidRPr="0011015D" w:rsidRDefault="000748BF" w:rsidP="008C6505">
      <w:pPr>
        <w:pStyle w:val="Clausetext1"/>
      </w:pPr>
      <w:r w:rsidRPr="00465916">
        <w:rPr>
          <w:rFonts w:cs="Arial"/>
          <w:color w:val="000000" w:themeColor="text1"/>
          <w:szCs w:val="22"/>
        </w:rPr>
        <w:t xml:space="preserve">Your firm should have a template ESG monitoring report.  CDC can provide samples if required. </w:t>
      </w:r>
      <w:r w:rsidRPr="0011015D">
        <w:t xml:space="preserve"> </w:t>
      </w:r>
    </w:p>
    <w:p w14:paraId="3FB01BEA" w14:textId="77777777" w:rsidR="007D2DA5" w:rsidRPr="007E328F" w:rsidRDefault="000748BF" w:rsidP="007E328F">
      <w:pPr>
        <w:pStyle w:val="Clausetext1"/>
        <w:rPr>
          <w:rFonts w:cs="Arial"/>
          <w:color w:val="000000" w:themeColor="text1"/>
          <w:szCs w:val="22"/>
        </w:rPr>
      </w:pPr>
      <w:r w:rsidRPr="007E328F">
        <w:rPr>
          <w:rFonts w:cs="Arial"/>
          <w:color w:val="000000" w:themeColor="text1"/>
          <w:szCs w:val="22"/>
        </w:rPr>
        <w:t xml:space="preserve">Finally, there is always scope to improve </w:t>
      </w:r>
      <w:r w:rsidRPr="007E328F">
        <w:rPr>
          <w:rFonts w:cs="Arial"/>
          <w:color w:val="000000" w:themeColor="text1"/>
          <w:szCs w:val="22"/>
        </w:rPr>
        <w:t>legal drafting</w:t>
      </w:r>
      <w:r w:rsidRPr="007E328F">
        <w:rPr>
          <w:rFonts w:cs="Arial"/>
          <w:color w:val="000000" w:themeColor="text1"/>
          <w:szCs w:val="22"/>
        </w:rPr>
        <w:t>.  I</w:t>
      </w:r>
      <w:r w:rsidRPr="007E328F">
        <w:rPr>
          <w:rFonts w:cs="Arial"/>
          <w:color w:val="000000" w:themeColor="text1"/>
          <w:szCs w:val="22"/>
        </w:rPr>
        <w:t>f you ha</w:t>
      </w:r>
      <w:r w:rsidRPr="007E328F">
        <w:rPr>
          <w:rFonts w:cs="Arial"/>
          <w:color w:val="000000" w:themeColor="text1"/>
          <w:szCs w:val="22"/>
        </w:rPr>
        <w:t>ve any comments or improvements to suggest, please feed these back to CDC</w:t>
      </w:r>
      <w:r w:rsidRPr="00465916">
        <w:rPr>
          <w:color w:val="000000" w:themeColor="text1"/>
        </w:rPr>
        <w:t>.</w:t>
      </w:r>
      <w:r w:rsidRPr="007E328F">
        <w:rPr>
          <w:rFonts w:cs="Arial"/>
          <w:color w:val="000000" w:themeColor="text1"/>
          <w:szCs w:val="22"/>
        </w:rPr>
        <w:br w:type="page"/>
      </w:r>
    </w:p>
    <w:p w14:paraId="3FB01BEB" w14:textId="77777777" w:rsidR="00FC607D" w:rsidRPr="0011015D" w:rsidRDefault="000748BF" w:rsidP="007D2DA5">
      <w:pPr>
        <w:pStyle w:val="Heading2"/>
        <w:rPr>
          <w:rFonts w:ascii="Georgia" w:hAnsi="Georgia"/>
        </w:rPr>
      </w:pPr>
      <w:bookmarkStart w:id="2" w:name="_Disclosure_of_information_1"/>
      <w:bookmarkStart w:id="3" w:name="_Permitted_Transfers"/>
      <w:bookmarkStart w:id="4" w:name="_Not_a_client"/>
      <w:bookmarkStart w:id="5" w:name="_Toc368064307"/>
      <w:bookmarkStart w:id="6" w:name="_Toc456289229"/>
      <w:bookmarkStart w:id="7" w:name="_Toc451759964"/>
      <w:bookmarkStart w:id="8" w:name="_Toc462908775"/>
      <w:bookmarkEnd w:id="2"/>
      <w:bookmarkEnd w:id="3"/>
      <w:bookmarkEnd w:id="4"/>
      <w:r w:rsidRPr="0011015D">
        <w:rPr>
          <w:rFonts w:ascii="Georgia" w:hAnsi="Georgia"/>
        </w:rPr>
        <w:lastRenderedPageBreak/>
        <w:t xml:space="preserve">ESG </w:t>
      </w:r>
      <w:r w:rsidRPr="0011015D">
        <w:rPr>
          <w:rFonts w:ascii="Georgia" w:hAnsi="Georgia"/>
        </w:rPr>
        <w:t>d</w:t>
      </w:r>
      <w:r w:rsidRPr="0011015D">
        <w:rPr>
          <w:rFonts w:ascii="Georgia" w:hAnsi="Georgia"/>
        </w:rPr>
        <w:t>efinitions</w:t>
      </w:r>
      <w:bookmarkEnd w:id="5"/>
      <w:bookmarkEnd w:id="6"/>
      <w:bookmarkEnd w:id="7"/>
      <w:bookmarkEnd w:id="8"/>
    </w:p>
    <w:p w14:paraId="3FB01BEC" w14:textId="77777777" w:rsidR="000457B2" w:rsidRPr="0011015D" w:rsidRDefault="000748BF" w:rsidP="0011015D">
      <w:pPr>
        <w:pStyle w:val="draftingnote"/>
        <w:rPr>
          <w:rFonts w:cs="Arial"/>
          <w:sz w:val="22"/>
          <w:szCs w:val="22"/>
        </w:rPr>
      </w:pPr>
      <w:r w:rsidRPr="0011015D">
        <w:t xml:space="preserve">See </w:t>
      </w:r>
      <w:hyperlink w:anchor="_General_definitions" w:history="1">
        <w:r w:rsidRPr="0011015D">
          <w:rPr>
            <w:rStyle w:val="Hyperlink"/>
            <w:b w:val="0"/>
          </w:rPr>
          <w:t>General Definitions</w:t>
        </w:r>
      </w:hyperlink>
      <w:r w:rsidRPr="0011015D">
        <w:t xml:space="preserve"> in Part Two for definitions of </w:t>
      </w:r>
      <w:r w:rsidRPr="0011015D">
        <w:t>‘</w:t>
      </w:r>
      <w:r w:rsidRPr="0011015D">
        <w:t>Group</w:t>
      </w:r>
      <w:r w:rsidRPr="0011015D">
        <w:t>’</w:t>
      </w:r>
      <w:r w:rsidRPr="0011015D">
        <w:t xml:space="preserve"> and </w:t>
      </w:r>
      <w:r w:rsidRPr="0011015D">
        <w:t>‘</w:t>
      </w:r>
      <w:r w:rsidRPr="0011015D">
        <w:t>Group Company</w:t>
      </w:r>
      <w:r w:rsidRPr="0011015D">
        <w:t>’</w:t>
      </w:r>
      <w:r w:rsidRPr="0011015D">
        <w:rPr>
          <w:rFonts w:cs="Arial"/>
          <w:sz w:val="22"/>
          <w:szCs w:val="22"/>
        </w:rPr>
        <w:t xml:space="preserve"> </w:t>
      </w:r>
    </w:p>
    <w:p w14:paraId="3FB01BED" w14:textId="77777777" w:rsidR="00816940" w:rsidRPr="0011015D" w:rsidRDefault="000748BF" w:rsidP="0011015D">
      <w:pPr>
        <w:pStyle w:val="Clausetext1"/>
      </w:pPr>
      <w:r w:rsidRPr="0011015D">
        <w:t>"</w:t>
      </w:r>
      <w:r w:rsidRPr="0011015D">
        <w:rPr>
          <w:b/>
        </w:rPr>
        <w:t>Business Integrity</w:t>
      </w:r>
      <w:r w:rsidRPr="0011015D">
        <w:t xml:space="preserve"> </w:t>
      </w:r>
      <w:r w:rsidRPr="0011015D">
        <w:rPr>
          <w:b/>
        </w:rPr>
        <w:t>Laws</w:t>
      </w:r>
      <w:r w:rsidRPr="0011015D">
        <w:t>" means any law,</w:t>
      </w:r>
      <w:r w:rsidRPr="0011015D">
        <w:t xml:space="preserve"> rule or regulation relating to bribery, corruption, financial crime, anti-terrorism, terrorism financing, anti-money laundering, export controls, trade embargoes, travel bans applicable to any Group Company or to the Investors including, without limitatio</w:t>
      </w:r>
      <w:r w:rsidRPr="0011015D">
        <w:t xml:space="preserve">n, the economic sanctions and regulations of a Sanctioning Body, any European Union restrictive measure that has been implemented pursuant to any European Council or Commission Regulation or Decision adopted pursuant to a Common Position in furtherance of </w:t>
      </w:r>
      <w:r w:rsidRPr="0011015D">
        <w:t>the European Union's Common Foreign and Security Policy;</w:t>
      </w:r>
    </w:p>
    <w:p w14:paraId="3FB01BEE" w14:textId="77777777" w:rsidR="00FC607D" w:rsidRPr="0011015D" w:rsidRDefault="000748BF" w:rsidP="0011015D">
      <w:pPr>
        <w:pStyle w:val="draftingnote"/>
      </w:pPr>
      <w:r w:rsidRPr="0011015D">
        <w:t xml:space="preserve">Definitions in italics </w:t>
      </w:r>
      <w:r w:rsidRPr="0011015D">
        <w:t>for financial institutions only</w:t>
      </w:r>
    </w:p>
    <w:p w14:paraId="3FB01BEF" w14:textId="77777777" w:rsidR="00FC607D" w:rsidRPr="0011015D" w:rsidRDefault="000748BF" w:rsidP="00FC607D">
      <w:pPr>
        <w:pStyle w:val="BodyText"/>
        <w:spacing w:after="240"/>
        <w:rPr>
          <w:rFonts w:ascii="Georgia" w:hAnsi="Georgia" w:cs="Arial"/>
          <w:i/>
          <w:szCs w:val="22"/>
        </w:rPr>
      </w:pPr>
      <w:r w:rsidRPr="0011015D">
        <w:rPr>
          <w:rFonts w:ascii="Georgia" w:hAnsi="Georgia" w:cs="Arial"/>
          <w:i/>
          <w:szCs w:val="22"/>
        </w:rPr>
        <w:t>["</w:t>
      </w:r>
      <w:r w:rsidRPr="0011015D">
        <w:rPr>
          <w:rFonts w:ascii="Georgia" w:hAnsi="Georgia" w:cs="Arial"/>
          <w:b/>
          <w:bCs/>
          <w:i/>
          <w:szCs w:val="22"/>
        </w:rPr>
        <w:t>Client</w:t>
      </w:r>
      <w:r w:rsidRPr="0011015D">
        <w:rPr>
          <w:rFonts w:ascii="Georgia" w:hAnsi="Georgia" w:cs="Arial"/>
          <w:i/>
          <w:szCs w:val="22"/>
        </w:rPr>
        <w:t>" means each customer, depositor or borrower of a Group Company (not being a natural person);</w:t>
      </w:r>
    </w:p>
    <w:p w14:paraId="3FB01BF0" w14:textId="77777777" w:rsidR="000A13D3" w:rsidRPr="000A13D3" w:rsidRDefault="000748BF" w:rsidP="000A13D3">
      <w:pPr>
        <w:pStyle w:val="BodyText"/>
        <w:spacing w:after="240"/>
        <w:rPr>
          <w:rFonts w:ascii="Georgia" w:hAnsi="Georgia" w:cs="Arial"/>
          <w:i/>
          <w:szCs w:val="22"/>
        </w:rPr>
      </w:pPr>
      <w:r w:rsidRPr="000A13D3">
        <w:rPr>
          <w:rFonts w:ascii="Georgia" w:hAnsi="Georgia" w:cs="Arial"/>
          <w:i/>
          <w:szCs w:val="22"/>
        </w:rPr>
        <w:t>“</w:t>
      </w:r>
      <w:r w:rsidRPr="000A13D3">
        <w:rPr>
          <w:rFonts w:ascii="Georgia" w:hAnsi="Georgia" w:cs="Arial"/>
          <w:b/>
          <w:i/>
          <w:szCs w:val="22"/>
        </w:rPr>
        <w:t>Client ESG Standards</w:t>
      </w:r>
      <w:r w:rsidRPr="000A13D3">
        <w:rPr>
          <w:rFonts w:ascii="Georgia" w:hAnsi="Georgia" w:cs="Arial"/>
          <w:i/>
          <w:szCs w:val="22"/>
        </w:rPr>
        <w:t>” means:</w:t>
      </w:r>
    </w:p>
    <w:p w14:paraId="3FB01BF1" w14:textId="77777777" w:rsidR="000A13D3" w:rsidRPr="000A13D3" w:rsidRDefault="000748BF" w:rsidP="000A13D3">
      <w:pPr>
        <w:pStyle w:val="ListAlpha2"/>
        <w:numPr>
          <w:ilvl w:val="1"/>
          <w:numId w:val="8"/>
        </w:numPr>
        <w:tabs>
          <w:tab w:val="clear" w:pos="1417"/>
        </w:tabs>
        <w:spacing w:after="240" w:line="280" w:lineRule="exact"/>
        <w:ind w:left="709" w:hanging="709"/>
        <w:rPr>
          <w:rFonts w:ascii="Georgia" w:hAnsi="Georgia" w:cs="Arial"/>
          <w:i/>
          <w:szCs w:val="22"/>
        </w:rPr>
      </w:pPr>
      <w:r w:rsidRPr="000A13D3">
        <w:rPr>
          <w:rFonts w:ascii="Georgia" w:hAnsi="Georgia" w:cs="Arial"/>
          <w:i/>
          <w:szCs w:val="22"/>
        </w:rPr>
        <w:t xml:space="preserve">in the case </w:t>
      </w:r>
      <w:r w:rsidRPr="000A13D3">
        <w:rPr>
          <w:rFonts w:ascii="Georgia" w:hAnsi="Georgia" w:cs="Arial"/>
          <w:i/>
          <w:szCs w:val="22"/>
        </w:rPr>
        <w:t>of High Risk Clients, the ESG Requirements; and</w:t>
      </w:r>
    </w:p>
    <w:p w14:paraId="3FB01BF2" w14:textId="77777777" w:rsidR="000A13D3" w:rsidRPr="000A13D3" w:rsidRDefault="000748BF" w:rsidP="000A13D3">
      <w:pPr>
        <w:pStyle w:val="ListAlpha2"/>
        <w:numPr>
          <w:ilvl w:val="1"/>
          <w:numId w:val="8"/>
        </w:numPr>
        <w:tabs>
          <w:tab w:val="clear" w:pos="1417"/>
        </w:tabs>
        <w:spacing w:after="240" w:line="280" w:lineRule="exact"/>
        <w:ind w:left="709" w:hanging="709"/>
        <w:rPr>
          <w:rFonts w:ascii="Georgia" w:hAnsi="Georgia" w:cs="Arial"/>
          <w:i/>
          <w:szCs w:val="22"/>
        </w:rPr>
      </w:pPr>
      <w:r w:rsidRPr="000A13D3">
        <w:rPr>
          <w:rFonts w:ascii="Georgia" w:hAnsi="Georgia" w:cs="Arial"/>
          <w:i/>
          <w:szCs w:val="22"/>
        </w:rPr>
        <w:t xml:space="preserve">in the case of all other Clients, </w:t>
      </w:r>
      <w:r>
        <w:rPr>
          <w:rFonts w:ascii="Georgia" w:hAnsi="Georgia" w:cs="Arial"/>
          <w:i/>
          <w:szCs w:val="22"/>
        </w:rPr>
        <w:t xml:space="preserve">the </w:t>
      </w:r>
      <w:r w:rsidRPr="000A13D3">
        <w:rPr>
          <w:rFonts w:ascii="Georgia" w:hAnsi="Georgia" w:cs="Arial"/>
          <w:i/>
          <w:szCs w:val="22"/>
        </w:rPr>
        <w:t>ESG Laws and the requirements set out in paragraph 2 of Part A of Schedule [X] (Working conditions and labour rights);]</w:t>
      </w:r>
    </w:p>
    <w:p w14:paraId="3FB01BF3" w14:textId="77777777" w:rsidR="00FC607D" w:rsidRPr="0011015D" w:rsidRDefault="000748BF" w:rsidP="00FC607D">
      <w:pPr>
        <w:pStyle w:val="BodyText"/>
        <w:spacing w:after="240"/>
        <w:rPr>
          <w:rFonts w:ascii="Georgia" w:hAnsi="Georgia" w:cs="Arial"/>
          <w:szCs w:val="22"/>
        </w:rPr>
      </w:pPr>
      <w:r w:rsidRPr="0011015D">
        <w:rPr>
          <w:rFonts w:ascii="Georgia" w:hAnsi="Georgia" w:cs="Arial"/>
          <w:szCs w:val="22"/>
        </w:rPr>
        <w:t>"</w:t>
      </w:r>
      <w:r w:rsidRPr="0011015D">
        <w:rPr>
          <w:rFonts w:ascii="Georgia" w:hAnsi="Georgia" w:cs="Arial"/>
          <w:b/>
          <w:bCs/>
          <w:szCs w:val="22"/>
        </w:rPr>
        <w:t>Environment</w:t>
      </w:r>
      <w:r w:rsidRPr="0011015D">
        <w:rPr>
          <w:rFonts w:ascii="Georgia" w:hAnsi="Georgia" w:cs="Arial"/>
          <w:szCs w:val="22"/>
        </w:rPr>
        <w:t>" means humans, animals, plants and al</w:t>
      </w:r>
      <w:r w:rsidRPr="0011015D">
        <w:rPr>
          <w:rFonts w:ascii="Georgia" w:hAnsi="Georgia" w:cs="Arial"/>
          <w:szCs w:val="22"/>
        </w:rPr>
        <w:t>l other living organisms including the ecological systems of which they form part and the following media:</w:t>
      </w:r>
    </w:p>
    <w:p w14:paraId="3FB01BF4" w14:textId="77777777" w:rsidR="00FC607D" w:rsidRPr="0011015D" w:rsidRDefault="000748BF" w:rsidP="0081293A">
      <w:pPr>
        <w:pStyle w:val="ListAlpha2"/>
        <w:numPr>
          <w:ilvl w:val="1"/>
          <w:numId w:val="8"/>
        </w:numPr>
        <w:tabs>
          <w:tab w:val="clear" w:pos="1417"/>
        </w:tabs>
        <w:spacing w:after="240" w:line="280" w:lineRule="exact"/>
        <w:ind w:left="709" w:hanging="709"/>
        <w:rPr>
          <w:rFonts w:ascii="Georgia" w:hAnsi="Georgia" w:cs="Arial"/>
          <w:szCs w:val="22"/>
        </w:rPr>
      </w:pPr>
      <w:r w:rsidRPr="0011015D">
        <w:rPr>
          <w:rFonts w:ascii="Georgia" w:hAnsi="Georgia" w:cs="Arial"/>
          <w:szCs w:val="22"/>
        </w:rPr>
        <w:t>air (including, without limitation, air within natural or man-made structures, whether above or below ground);</w:t>
      </w:r>
    </w:p>
    <w:p w14:paraId="3FB01BF5" w14:textId="77777777" w:rsidR="00FC607D" w:rsidRPr="0011015D" w:rsidRDefault="000748BF" w:rsidP="0081293A">
      <w:pPr>
        <w:pStyle w:val="ListAlpha2"/>
        <w:numPr>
          <w:ilvl w:val="1"/>
          <w:numId w:val="8"/>
        </w:numPr>
        <w:tabs>
          <w:tab w:val="clear" w:pos="1417"/>
        </w:tabs>
        <w:spacing w:after="240" w:line="280" w:lineRule="exact"/>
        <w:ind w:left="709" w:hanging="709"/>
        <w:rPr>
          <w:rFonts w:ascii="Georgia" w:hAnsi="Georgia" w:cs="Arial"/>
          <w:szCs w:val="22"/>
        </w:rPr>
      </w:pPr>
      <w:r w:rsidRPr="0011015D">
        <w:rPr>
          <w:rFonts w:ascii="Georgia" w:hAnsi="Georgia" w:cs="Arial"/>
          <w:szCs w:val="22"/>
        </w:rPr>
        <w:t xml:space="preserve">water (including, without limitation, </w:t>
      </w:r>
      <w:r w:rsidRPr="0011015D">
        <w:rPr>
          <w:rFonts w:ascii="Georgia" w:hAnsi="Georgia" w:cs="Arial"/>
          <w:szCs w:val="22"/>
        </w:rPr>
        <w:t>territorial, coastal and inland waters, water under or within land and water in drains and sewers); and</w:t>
      </w:r>
    </w:p>
    <w:p w14:paraId="3FB01BF6" w14:textId="77777777" w:rsidR="00FC607D" w:rsidRPr="0011015D" w:rsidRDefault="000748BF" w:rsidP="0081293A">
      <w:pPr>
        <w:pStyle w:val="ListAlpha2"/>
        <w:numPr>
          <w:ilvl w:val="1"/>
          <w:numId w:val="8"/>
        </w:numPr>
        <w:tabs>
          <w:tab w:val="clear" w:pos="1417"/>
        </w:tabs>
        <w:spacing w:after="240" w:line="280" w:lineRule="exact"/>
        <w:ind w:left="709" w:hanging="709"/>
        <w:rPr>
          <w:rFonts w:ascii="Georgia" w:hAnsi="Georgia" w:cs="Arial"/>
          <w:szCs w:val="22"/>
        </w:rPr>
      </w:pPr>
      <w:r w:rsidRPr="0011015D">
        <w:rPr>
          <w:rFonts w:ascii="Georgia" w:hAnsi="Georgia" w:cs="Arial"/>
          <w:szCs w:val="22"/>
        </w:rPr>
        <w:tab/>
        <w:t>land (including, withou</w:t>
      </w:r>
      <w:r w:rsidRPr="0011015D">
        <w:rPr>
          <w:rFonts w:ascii="Georgia" w:hAnsi="Georgia" w:cs="Arial"/>
          <w:szCs w:val="22"/>
        </w:rPr>
        <w:t>t limitation, land under water);</w:t>
      </w:r>
    </w:p>
    <w:p w14:paraId="3FB01BF7" w14:textId="77777777" w:rsidR="00FC607D" w:rsidRPr="0011015D" w:rsidRDefault="000748BF" w:rsidP="0011015D">
      <w:pPr>
        <w:pStyle w:val="draftingnote"/>
      </w:pPr>
      <w:r w:rsidRPr="0011015D">
        <w:t>Words in italics for financial institutions deals only</w:t>
      </w:r>
    </w:p>
    <w:p w14:paraId="3FB01BF8" w14:textId="77777777" w:rsidR="00FC607D" w:rsidRPr="0011015D" w:rsidRDefault="000748BF" w:rsidP="00FC607D">
      <w:pPr>
        <w:pStyle w:val="BodyText"/>
        <w:spacing w:after="240"/>
        <w:rPr>
          <w:rFonts w:ascii="Georgia" w:hAnsi="Georgia" w:cs="Arial"/>
          <w:szCs w:val="22"/>
        </w:rPr>
      </w:pPr>
      <w:r w:rsidRPr="0011015D">
        <w:rPr>
          <w:rFonts w:ascii="Georgia" w:hAnsi="Georgia" w:cs="Arial"/>
          <w:szCs w:val="22"/>
        </w:rPr>
        <w:t>"</w:t>
      </w:r>
      <w:r w:rsidRPr="0011015D">
        <w:rPr>
          <w:rFonts w:ascii="Georgia" w:hAnsi="Georgia" w:cs="Arial"/>
          <w:b/>
          <w:bCs/>
          <w:szCs w:val="22"/>
        </w:rPr>
        <w:t>Environmental Law</w:t>
      </w:r>
      <w:r w:rsidRPr="0011015D">
        <w:rPr>
          <w:rFonts w:ascii="Georgia" w:hAnsi="Georgia" w:cs="Arial"/>
          <w:szCs w:val="22"/>
        </w:rPr>
        <w:t>" means any applicable</w:t>
      </w:r>
      <w:r w:rsidRPr="0011015D">
        <w:rPr>
          <w:rFonts w:ascii="Georgia" w:hAnsi="Georgia" w:cs="Arial"/>
          <w:szCs w:val="22"/>
        </w:rPr>
        <w:t xml:space="preserve"> law, rule or regulation (including international treaty obligations) concerning the Environment and natural resource management applicable in each jurisdiction in which a Group Company carries on business [</w:t>
      </w:r>
      <w:r w:rsidRPr="0011015D">
        <w:rPr>
          <w:rFonts w:ascii="Georgia" w:hAnsi="Georgia" w:cs="Arial"/>
          <w:i/>
          <w:szCs w:val="22"/>
        </w:rPr>
        <w:t>or in which a Client carries out business activit</w:t>
      </w:r>
      <w:r w:rsidRPr="0011015D">
        <w:rPr>
          <w:rFonts w:ascii="Georgia" w:hAnsi="Georgia" w:cs="Arial"/>
          <w:i/>
          <w:szCs w:val="22"/>
        </w:rPr>
        <w:t>ies financed by the Company</w:t>
      </w:r>
      <w:r w:rsidRPr="0011015D">
        <w:rPr>
          <w:rFonts w:ascii="Georgia" w:hAnsi="Georgia" w:cs="Arial"/>
          <w:szCs w:val="22"/>
        </w:rPr>
        <w:t>];</w:t>
      </w:r>
    </w:p>
    <w:p w14:paraId="3FB01BF9" w14:textId="77777777" w:rsidR="00FC607D" w:rsidRPr="0011015D" w:rsidRDefault="000748BF" w:rsidP="0011015D">
      <w:pPr>
        <w:pStyle w:val="draftingnote"/>
      </w:pPr>
      <w:r w:rsidRPr="0011015D">
        <w:t>ESG may b</w:t>
      </w:r>
      <w:r w:rsidRPr="0011015D">
        <w:t>e part of a broader Action Plan</w:t>
      </w:r>
    </w:p>
    <w:p w14:paraId="3FB01BFA" w14:textId="77777777" w:rsidR="00FC607D" w:rsidRPr="0011015D" w:rsidRDefault="000748BF" w:rsidP="00FC607D">
      <w:pPr>
        <w:pStyle w:val="BodyText"/>
        <w:spacing w:after="240"/>
        <w:rPr>
          <w:rFonts w:ascii="Georgia" w:hAnsi="Georgia" w:cs="Arial"/>
          <w:szCs w:val="22"/>
        </w:rPr>
      </w:pPr>
      <w:r w:rsidRPr="0011015D">
        <w:rPr>
          <w:rFonts w:ascii="Georgia" w:hAnsi="Georgia" w:cs="Arial"/>
          <w:szCs w:val="22"/>
        </w:rPr>
        <w:t>"</w:t>
      </w:r>
      <w:r w:rsidRPr="0011015D">
        <w:rPr>
          <w:rFonts w:ascii="Georgia" w:hAnsi="Georgia" w:cs="Arial"/>
          <w:b/>
          <w:szCs w:val="22"/>
        </w:rPr>
        <w:t>ESG</w:t>
      </w:r>
      <w:r w:rsidRPr="0011015D">
        <w:rPr>
          <w:rFonts w:ascii="Georgia" w:hAnsi="Georgia" w:cs="Arial"/>
          <w:b/>
          <w:bCs/>
          <w:szCs w:val="22"/>
        </w:rPr>
        <w:t xml:space="preserve"> Action Plan</w:t>
      </w:r>
      <w:r w:rsidRPr="0011015D">
        <w:rPr>
          <w:rFonts w:ascii="Georgia" w:hAnsi="Georgia" w:cs="Arial"/>
          <w:szCs w:val="22"/>
        </w:rPr>
        <w:t>" means [an environmental, social and governance action plan in the Agreed Form][that part of the Action Plan] defining actions, responsibilities, budgets, deliverables,</w:t>
      </w:r>
      <w:r w:rsidRPr="0011015D">
        <w:rPr>
          <w:rFonts w:ascii="Georgia" w:hAnsi="Georgia" w:cs="Arial"/>
          <w:szCs w:val="22"/>
        </w:rPr>
        <w:t xml:space="preserve"> compliance indicators, and a timeframe for the measures required to remedy any known non-compliances with the ESG Requirements in the business activities of the Company, [including the establishment of an appropriate ESG Management System], as may be amen</w:t>
      </w:r>
      <w:r w:rsidRPr="0011015D">
        <w:rPr>
          <w:rFonts w:ascii="Georgia" w:hAnsi="Georgia" w:cs="Arial"/>
          <w:szCs w:val="22"/>
        </w:rPr>
        <w:t xml:space="preserve">ded with the approval of the Investors </w:t>
      </w:r>
      <w:r w:rsidRPr="0011015D">
        <w:rPr>
          <w:rFonts w:ascii="Georgia" w:hAnsi="Georgia" w:cs="Arial"/>
          <w:szCs w:val="22"/>
        </w:rPr>
        <w:t>from time to time;</w:t>
      </w:r>
    </w:p>
    <w:p w14:paraId="3FB01BFB" w14:textId="77777777" w:rsidR="00397BCE" w:rsidRPr="0011015D" w:rsidRDefault="000748BF" w:rsidP="0011015D">
      <w:pPr>
        <w:pStyle w:val="draftingnote"/>
      </w:pPr>
      <w:r w:rsidRPr="0011015D">
        <w:lastRenderedPageBreak/>
        <w:t>See note on ESG Breaches below.  Cross reference the core ESG Requirements covenant, the ESG Action Plan and the ESG Schedule</w:t>
      </w:r>
    </w:p>
    <w:p w14:paraId="3FB01BFC" w14:textId="77777777" w:rsidR="00ED16EF" w:rsidRPr="0011015D" w:rsidRDefault="000748BF" w:rsidP="00FC607D">
      <w:pPr>
        <w:pStyle w:val="BodyText"/>
        <w:spacing w:after="240"/>
        <w:rPr>
          <w:rFonts w:ascii="Georgia" w:hAnsi="Georgia" w:cs="Arial"/>
          <w:szCs w:val="22"/>
        </w:rPr>
      </w:pPr>
      <w:r w:rsidRPr="0011015D">
        <w:rPr>
          <w:rFonts w:ascii="Georgia" w:hAnsi="Georgia" w:cs="Arial"/>
          <w:szCs w:val="22"/>
        </w:rPr>
        <w:t>“</w:t>
      </w:r>
      <w:r w:rsidRPr="0011015D">
        <w:rPr>
          <w:rFonts w:ascii="Georgia" w:hAnsi="Georgia" w:cs="Arial"/>
          <w:b/>
          <w:szCs w:val="22"/>
        </w:rPr>
        <w:t>ESG Breach</w:t>
      </w:r>
      <w:r w:rsidRPr="0011015D">
        <w:rPr>
          <w:rFonts w:ascii="Georgia" w:hAnsi="Georgia" w:cs="Arial"/>
          <w:szCs w:val="22"/>
        </w:rPr>
        <w:t xml:space="preserve">” means </w:t>
      </w:r>
      <w:r w:rsidRPr="0011015D">
        <w:rPr>
          <w:rFonts w:ascii="Georgia" w:hAnsi="Georgia" w:cs="Arial"/>
          <w:szCs w:val="22"/>
        </w:rPr>
        <w:t xml:space="preserve">the breach by any Group Company of any obligation in </w:t>
      </w:r>
      <w:r w:rsidRPr="0011015D">
        <w:rPr>
          <w:rFonts w:ascii="Georgia" w:hAnsi="Georgia" w:cs="Arial"/>
          <w:szCs w:val="22"/>
        </w:rPr>
        <w:t>clauses [3.1] and [3.2] and Schedule [X];</w:t>
      </w:r>
    </w:p>
    <w:p w14:paraId="3FB01BFD" w14:textId="77777777" w:rsidR="00397BCE" w:rsidRPr="0011015D" w:rsidRDefault="000748BF" w:rsidP="00397BCE">
      <w:pPr>
        <w:pStyle w:val="BodyText"/>
        <w:spacing w:after="240"/>
        <w:rPr>
          <w:rFonts w:ascii="Georgia" w:hAnsi="Georgia" w:cs="Arial"/>
          <w:szCs w:val="22"/>
        </w:rPr>
      </w:pPr>
      <w:r w:rsidRPr="0011015D">
        <w:rPr>
          <w:rFonts w:ascii="Georgia" w:hAnsi="Georgia" w:cs="Arial"/>
          <w:szCs w:val="22"/>
        </w:rPr>
        <w:t>"</w:t>
      </w:r>
      <w:r w:rsidRPr="0011015D">
        <w:rPr>
          <w:rFonts w:ascii="Georgia" w:hAnsi="Georgia" w:cs="Arial"/>
          <w:b/>
          <w:bCs/>
          <w:szCs w:val="22"/>
        </w:rPr>
        <w:t>ESG Claim</w:t>
      </w:r>
      <w:r w:rsidRPr="0011015D">
        <w:rPr>
          <w:rFonts w:ascii="Georgia" w:hAnsi="Georgia" w:cs="Arial"/>
          <w:szCs w:val="22"/>
        </w:rPr>
        <w:t>" means any claim, proceeding or investigation by a person in respect of any ESG Laws;</w:t>
      </w:r>
    </w:p>
    <w:p w14:paraId="3FB01BFE" w14:textId="77777777" w:rsidR="00FC607D" w:rsidRPr="0011015D" w:rsidRDefault="000748BF" w:rsidP="0011015D">
      <w:pPr>
        <w:pStyle w:val="draftingnote"/>
      </w:pPr>
      <w:r w:rsidRPr="0011015D">
        <w:t xml:space="preserve">Discuss with </w:t>
      </w:r>
      <w:r w:rsidRPr="00465916">
        <w:t>your environmental/social</w:t>
      </w:r>
      <w:r w:rsidRPr="0011015D">
        <w:t xml:space="preserve"> team whether an ESG committee is required – </w:t>
      </w:r>
      <w:r>
        <w:t xml:space="preserve">it </w:t>
      </w:r>
      <w:r w:rsidRPr="0011015D">
        <w:t xml:space="preserve">will be </w:t>
      </w:r>
      <w:r>
        <w:t xml:space="preserve">appropriate </w:t>
      </w:r>
      <w:r w:rsidRPr="0011015D">
        <w:t>for busines</w:t>
      </w:r>
      <w:r w:rsidRPr="0011015D">
        <w:t xml:space="preserve">ses with greater environmental or social impact.  Language should conform to </w:t>
      </w:r>
      <w:r>
        <w:t xml:space="preserve">the </w:t>
      </w:r>
      <w:r w:rsidRPr="0011015D">
        <w:t xml:space="preserve">SHA.  If used, changes to terms of reference of the ESG Committee should be a reserved matter and the formation of the committee should be a condition precedent to closing.  </w:t>
      </w:r>
    </w:p>
    <w:p w14:paraId="3FB01BFF" w14:textId="77777777" w:rsidR="00FC607D" w:rsidRPr="0011015D" w:rsidRDefault="000748BF" w:rsidP="00FC607D">
      <w:pPr>
        <w:pStyle w:val="BodyText"/>
        <w:spacing w:after="240"/>
        <w:rPr>
          <w:rFonts w:ascii="Georgia" w:hAnsi="Georgia" w:cs="Arial"/>
          <w:szCs w:val="22"/>
        </w:rPr>
      </w:pPr>
      <w:r w:rsidRPr="0011015D">
        <w:rPr>
          <w:rFonts w:ascii="Georgia" w:hAnsi="Georgia" w:cs="Arial"/>
          <w:szCs w:val="22"/>
        </w:rPr>
        <w:t>["</w:t>
      </w:r>
      <w:r w:rsidRPr="0011015D">
        <w:rPr>
          <w:rFonts w:ascii="Georgia" w:hAnsi="Georgia" w:cs="Arial"/>
          <w:b/>
          <w:bCs/>
          <w:szCs w:val="22"/>
        </w:rPr>
        <w:t>ESG Committee</w:t>
      </w:r>
      <w:r w:rsidRPr="0011015D">
        <w:rPr>
          <w:rFonts w:ascii="Georgia" w:hAnsi="Georgia" w:cs="Arial"/>
          <w:szCs w:val="22"/>
        </w:rPr>
        <w:t xml:space="preserve">" means a committee of the Board comprising [three] directors of which [one] must be </w:t>
      </w:r>
      <w:r w:rsidRPr="00465916">
        <w:rPr>
          <w:rFonts w:ascii="Georgia" w:hAnsi="Georgia" w:cs="Arial"/>
          <w:szCs w:val="22"/>
        </w:rPr>
        <w:t>[</w:t>
      </w:r>
      <w:r w:rsidRPr="0011015D">
        <w:rPr>
          <w:rFonts w:ascii="Georgia" w:hAnsi="Georgia" w:cs="Arial"/>
          <w:szCs w:val="22"/>
        </w:rPr>
        <w:t>an Investor Director</w:t>
      </w:r>
      <w:r w:rsidRPr="00465916">
        <w:rPr>
          <w:rFonts w:ascii="Georgia" w:hAnsi="Georgia" w:cs="Arial"/>
          <w:szCs w:val="22"/>
        </w:rPr>
        <w:t>]</w:t>
      </w:r>
      <w:r w:rsidRPr="00465916">
        <w:rPr>
          <w:rFonts w:ascii="Georgia" w:hAnsi="Georgia" w:cs="Arial"/>
          <w:szCs w:val="22"/>
        </w:rPr>
        <w:t>[a</w:t>
      </w:r>
      <w:r w:rsidRPr="0011015D">
        <w:rPr>
          <w:rFonts w:ascii="Georgia" w:hAnsi="Georgia" w:cs="Arial"/>
          <w:szCs w:val="22"/>
        </w:rPr>
        <w:t xml:space="preserve"> appointed by the Investors</w:t>
      </w:r>
      <w:r w:rsidRPr="00465916">
        <w:rPr>
          <w:rFonts w:ascii="Georgia" w:hAnsi="Georgia" w:cs="Arial"/>
          <w:szCs w:val="22"/>
        </w:rPr>
        <w:t>;</w:t>
      </w:r>
      <w:r w:rsidRPr="00465916">
        <w:rPr>
          <w:rFonts w:ascii="Georgia" w:hAnsi="Georgia" w:cs="Arial"/>
          <w:szCs w:val="22"/>
        </w:rPr>
        <w:t>]</w:t>
      </w:r>
    </w:p>
    <w:p w14:paraId="3FB01C00" w14:textId="77777777" w:rsidR="00FC607D" w:rsidRPr="0011015D" w:rsidRDefault="000748BF" w:rsidP="00FC607D">
      <w:pPr>
        <w:pStyle w:val="BodyText"/>
        <w:spacing w:after="240"/>
        <w:rPr>
          <w:rFonts w:ascii="Georgia" w:hAnsi="Georgia" w:cs="Arial"/>
          <w:szCs w:val="22"/>
        </w:rPr>
      </w:pPr>
      <w:r w:rsidRPr="0011015D">
        <w:rPr>
          <w:rFonts w:ascii="Georgia" w:hAnsi="Georgia" w:cs="Arial"/>
          <w:szCs w:val="22"/>
        </w:rPr>
        <w:t>“</w:t>
      </w:r>
      <w:r w:rsidRPr="0011015D">
        <w:rPr>
          <w:rFonts w:ascii="Georgia" w:hAnsi="Georgia" w:cs="Arial"/>
          <w:b/>
          <w:szCs w:val="22"/>
        </w:rPr>
        <w:t>ESG Laws</w:t>
      </w:r>
      <w:r w:rsidRPr="0011015D">
        <w:rPr>
          <w:rFonts w:ascii="Georgia" w:hAnsi="Georgia" w:cs="Arial"/>
          <w:szCs w:val="22"/>
        </w:rPr>
        <w:t xml:space="preserve">” means Environmental Laws, Social Laws or </w:t>
      </w:r>
      <w:r w:rsidRPr="0011015D">
        <w:rPr>
          <w:rFonts w:ascii="Georgia" w:hAnsi="Georgia" w:cs="Arial"/>
          <w:szCs w:val="22"/>
        </w:rPr>
        <w:t>Business Integrity Laws</w:t>
      </w:r>
      <w:r w:rsidRPr="0011015D">
        <w:rPr>
          <w:rFonts w:ascii="Georgia" w:hAnsi="Georgia" w:cs="Arial"/>
          <w:szCs w:val="22"/>
        </w:rPr>
        <w:t xml:space="preserve"> and the terms of any permits, licenses, consents, approvals or other authorisations held by a Group Company under Environmental Law or Social Law;</w:t>
      </w:r>
    </w:p>
    <w:p w14:paraId="3FB01C01" w14:textId="77777777" w:rsidR="00FC607D" w:rsidRPr="0011015D" w:rsidRDefault="000748BF" w:rsidP="0011015D">
      <w:pPr>
        <w:pStyle w:val="draftingnote"/>
      </w:pPr>
      <w:r w:rsidRPr="0011015D">
        <w:t>Not financial institutions</w:t>
      </w:r>
    </w:p>
    <w:p w14:paraId="3FB01C02" w14:textId="77777777" w:rsidR="00FC607D" w:rsidRPr="0011015D" w:rsidRDefault="000748BF" w:rsidP="0011015D">
      <w:pPr>
        <w:pStyle w:val="Clausetext1"/>
      </w:pPr>
      <w:r w:rsidRPr="0011015D">
        <w:t>["</w:t>
      </w:r>
      <w:r w:rsidRPr="0011015D">
        <w:rPr>
          <w:b/>
          <w:bCs/>
        </w:rPr>
        <w:t>ESG Management System</w:t>
      </w:r>
      <w:r w:rsidRPr="0011015D">
        <w:t>" means a management system, appropriate to the size and n</w:t>
      </w:r>
      <w:r w:rsidRPr="0011015D">
        <w:t>ature of the business and satisfactory to the Investors which is designed to (1) ensure a systematic approach to compliance with ESG Requirements, (2) monitor progress against the ESG Action Plan, (3) provide a mechanism to assess environmental, social and</w:t>
      </w:r>
      <w:r w:rsidRPr="0011015D">
        <w:t xml:space="preserve"> governance risks and a</w:t>
      </w:r>
      <w:r w:rsidRPr="0011015D">
        <w:t>ddress those risks, (4) monitor and report</w:t>
      </w:r>
      <w:r w:rsidRPr="0011015D">
        <w:t xml:space="preserve"> on progress and (5), to the extent possible, involve stakeholders;]</w:t>
      </w:r>
    </w:p>
    <w:p w14:paraId="3FB01C03" w14:textId="77777777" w:rsidR="00FC607D" w:rsidRPr="0011015D" w:rsidRDefault="000748BF" w:rsidP="0011015D">
      <w:pPr>
        <w:pStyle w:val="draftingnote"/>
      </w:pPr>
      <w:r w:rsidRPr="0011015D">
        <w:t>Financial institutions only</w:t>
      </w:r>
    </w:p>
    <w:p w14:paraId="3FB01C04" w14:textId="77777777" w:rsidR="00FC607D" w:rsidRPr="00C91938" w:rsidRDefault="000748BF" w:rsidP="0011015D">
      <w:pPr>
        <w:pStyle w:val="Clausetext1"/>
        <w:rPr>
          <w:i/>
        </w:rPr>
      </w:pPr>
      <w:r w:rsidRPr="00C91938">
        <w:rPr>
          <w:i/>
        </w:rPr>
        <w:t>["</w:t>
      </w:r>
      <w:r w:rsidRPr="00C91938">
        <w:rPr>
          <w:b/>
          <w:bCs/>
          <w:i/>
        </w:rPr>
        <w:t>ESG Management System</w:t>
      </w:r>
      <w:r w:rsidRPr="00C91938">
        <w:rPr>
          <w:i/>
        </w:rPr>
        <w:t xml:space="preserve">" means the part of the overall management system of the </w:t>
      </w:r>
      <w:r w:rsidRPr="00C91938">
        <w:rPr>
          <w:i/>
        </w:rPr>
        <w:t>Group</w:t>
      </w:r>
      <w:r w:rsidRPr="00C91938">
        <w:rPr>
          <w:i/>
        </w:rPr>
        <w:t xml:space="preserve"> dedicate</w:t>
      </w:r>
      <w:r w:rsidRPr="00C91938">
        <w:rPr>
          <w:i/>
        </w:rPr>
        <w:t>d to the systematic and structured improvement of environmental, social and governance performance, targeted to identify and manage ESG risks and opportunities in both the Group’s activities and in the loan and investment appraisal and management processes</w:t>
      </w:r>
      <w:r w:rsidRPr="00C91938">
        <w:rPr>
          <w:i/>
        </w:rPr>
        <w:t>, integrated in the Group’s organisational structure, planning activities, responsibilities, practices, procedures, processes and resources, which meets the requirements set out in Part E of Schedule [X] and is satisfactory to the Investors</w:t>
      </w:r>
      <w:r w:rsidRPr="00465916">
        <w:rPr>
          <w:i/>
        </w:rPr>
        <w:t>;</w:t>
      </w:r>
      <w:r>
        <w:rPr>
          <w:i/>
        </w:rPr>
        <w:t>]</w:t>
      </w:r>
      <w:r w:rsidRPr="00C91938">
        <w:rPr>
          <w:i/>
        </w:rPr>
        <w:t xml:space="preserve"> </w:t>
      </w:r>
    </w:p>
    <w:p w14:paraId="3FB01C05" w14:textId="77777777" w:rsidR="00FC607D" w:rsidRPr="0011015D" w:rsidRDefault="000748BF" w:rsidP="0011015D">
      <w:pPr>
        <w:pStyle w:val="Clausetext1"/>
      </w:pPr>
      <w:r w:rsidRPr="0011015D">
        <w:rPr>
          <w:bCs/>
        </w:rPr>
        <w:t>"</w:t>
      </w:r>
      <w:r w:rsidRPr="0011015D">
        <w:rPr>
          <w:b/>
          <w:bCs/>
        </w:rPr>
        <w:t>ESG Require</w:t>
      </w:r>
      <w:r w:rsidRPr="0011015D">
        <w:rPr>
          <w:b/>
          <w:bCs/>
        </w:rPr>
        <w:t>ments</w:t>
      </w:r>
      <w:r w:rsidRPr="0011015D">
        <w:rPr>
          <w:bCs/>
        </w:rPr>
        <w:t>"</w:t>
      </w:r>
      <w:r w:rsidRPr="0011015D">
        <w:rPr>
          <w:b/>
          <w:bCs/>
        </w:rPr>
        <w:t xml:space="preserve"> </w:t>
      </w:r>
      <w:r w:rsidRPr="0011015D">
        <w:t>means the requirements set out in Part A of Schedule [X] to the extent applicable to any Group Company;</w:t>
      </w:r>
    </w:p>
    <w:p w14:paraId="3FB01C06" w14:textId="77777777" w:rsidR="00FC607D" w:rsidRPr="0011015D" w:rsidRDefault="000748BF" w:rsidP="0011015D">
      <w:pPr>
        <w:pStyle w:val="Clausetext1"/>
      </w:pPr>
      <w:r w:rsidRPr="0011015D">
        <w:t>"</w:t>
      </w:r>
      <w:r w:rsidRPr="0011015D">
        <w:rPr>
          <w:b/>
          <w:bCs/>
        </w:rPr>
        <w:t>Exclusion List</w:t>
      </w:r>
      <w:r w:rsidRPr="0011015D">
        <w:t xml:space="preserve">" means </w:t>
      </w:r>
      <w:r w:rsidRPr="0011015D">
        <w:t xml:space="preserve">the list of </w:t>
      </w:r>
      <w:r w:rsidRPr="0011015D">
        <w:t>activities in Part B of Schedule [X</w:t>
      </w:r>
      <w:r w:rsidRPr="0011015D">
        <w:t>];</w:t>
      </w:r>
    </w:p>
    <w:p w14:paraId="3FB01C07" w14:textId="77777777" w:rsidR="00C2519B" w:rsidRPr="0011015D" w:rsidRDefault="000748BF" w:rsidP="00C2519B">
      <w:pPr>
        <w:pStyle w:val="BodyText"/>
        <w:spacing w:after="240"/>
        <w:rPr>
          <w:rFonts w:ascii="Georgia" w:hAnsi="Georgia" w:cs="Arial"/>
          <w:szCs w:val="22"/>
        </w:rPr>
      </w:pPr>
      <w:r w:rsidRPr="0011015D">
        <w:rPr>
          <w:rFonts w:ascii="Georgia" w:hAnsi="Georgia" w:cs="Arial"/>
          <w:szCs w:val="22"/>
        </w:rPr>
        <w:t>"</w:t>
      </w:r>
      <w:r w:rsidRPr="0011015D">
        <w:rPr>
          <w:rFonts w:ascii="Georgia" w:hAnsi="Georgia" w:cs="Arial"/>
          <w:b/>
          <w:szCs w:val="22"/>
        </w:rPr>
        <w:t>Financial Malpractice</w:t>
      </w:r>
      <w:r w:rsidRPr="0011015D">
        <w:rPr>
          <w:rFonts w:ascii="Georgia" w:hAnsi="Georgia" w:cs="Arial"/>
          <w:szCs w:val="22"/>
        </w:rPr>
        <w:t xml:space="preserve">" means: </w:t>
      </w:r>
    </w:p>
    <w:p w14:paraId="3FB01C08" w14:textId="77777777" w:rsidR="00C2519B" w:rsidRPr="0011015D" w:rsidRDefault="000748BF" w:rsidP="00C2519B">
      <w:pPr>
        <w:pStyle w:val="BodyText"/>
        <w:tabs>
          <w:tab w:val="left" w:pos="709"/>
        </w:tabs>
        <w:spacing w:after="240"/>
        <w:ind w:left="709" w:hanging="709"/>
        <w:rPr>
          <w:rFonts w:ascii="Georgia" w:hAnsi="Georgia" w:cs="Arial"/>
          <w:szCs w:val="22"/>
        </w:rPr>
      </w:pPr>
      <w:r w:rsidRPr="0011015D">
        <w:rPr>
          <w:rFonts w:ascii="Georgia" w:hAnsi="Georgia" w:cs="Arial"/>
          <w:szCs w:val="22"/>
        </w:rPr>
        <w:t xml:space="preserve">(a) </w:t>
      </w:r>
      <w:r w:rsidRPr="0011015D">
        <w:rPr>
          <w:rFonts w:ascii="Georgia" w:hAnsi="Georgia" w:cs="Arial"/>
          <w:szCs w:val="22"/>
        </w:rPr>
        <w:tab/>
      </w:r>
      <w:r w:rsidRPr="0011015D">
        <w:rPr>
          <w:rFonts w:ascii="Georgia" w:hAnsi="Georgia" w:cs="Arial"/>
          <w:szCs w:val="22"/>
        </w:rPr>
        <w:t>promising</w:t>
      </w:r>
      <w:r w:rsidRPr="0011015D">
        <w:rPr>
          <w:rFonts w:ascii="Georgia" w:hAnsi="Georgia" w:cs="Arial"/>
          <w:szCs w:val="22"/>
        </w:rPr>
        <w:t xml:space="preserve">, offering or giving, or </w:t>
      </w:r>
      <w:r w:rsidRPr="0011015D">
        <w:rPr>
          <w:rFonts w:ascii="Georgia" w:hAnsi="Georgia" w:cs="Arial"/>
          <w:szCs w:val="22"/>
        </w:rPr>
        <w:t>soliciting or accepting</w:t>
      </w:r>
      <w:r w:rsidRPr="0011015D">
        <w:rPr>
          <w:rFonts w:ascii="Georgia" w:hAnsi="Georgia" w:cs="Arial"/>
          <w:szCs w:val="22"/>
        </w:rPr>
        <w:t>, directly or indirectly, anything of value, to induce any person to act improperly or improperly refrain from acting in connection with any business or public function (or to reward them for improperly acting or refraining from acti</w:t>
      </w:r>
      <w:r w:rsidRPr="0011015D">
        <w:rPr>
          <w:rFonts w:ascii="Georgia" w:hAnsi="Georgia" w:cs="Arial"/>
          <w:szCs w:val="22"/>
        </w:rPr>
        <w:t>ng) and includes a breach of anti-corruption law in any jurisdiction applicable to an Investor or a Group Company;</w:t>
      </w:r>
    </w:p>
    <w:p w14:paraId="3FB01C09" w14:textId="77777777" w:rsidR="00C2519B" w:rsidRPr="0011015D" w:rsidRDefault="000748BF" w:rsidP="00C2519B">
      <w:pPr>
        <w:pStyle w:val="BodyText"/>
        <w:tabs>
          <w:tab w:val="left" w:pos="709"/>
        </w:tabs>
        <w:spacing w:after="240"/>
        <w:ind w:left="709" w:hanging="709"/>
        <w:rPr>
          <w:rFonts w:ascii="Georgia" w:hAnsi="Georgia" w:cs="Arial"/>
          <w:szCs w:val="22"/>
        </w:rPr>
      </w:pPr>
      <w:r w:rsidRPr="0011015D">
        <w:rPr>
          <w:rFonts w:ascii="Georgia" w:hAnsi="Georgia" w:cs="Arial"/>
          <w:szCs w:val="22"/>
        </w:rPr>
        <w:lastRenderedPageBreak/>
        <w:t>(b)</w:t>
      </w:r>
      <w:r w:rsidRPr="0011015D">
        <w:rPr>
          <w:rFonts w:ascii="Georgia" w:hAnsi="Georgia" w:cs="Arial"/>
          <w:szCs w:val="22"/>
        </w:rPr>
        <w:tab/>
        <w:t xml:space="preserve">any act or omission, including any misrepresentation, that knowingly or recklessly misleads, or attempts to mislead, a </w:t>
      </w:r>
      <w:r w:rsidRPr="0011015D">
        <w:rPr>
          <w:rFonts w:ascii="Georgia" w:hAnsi="Georgia" w:cs="Arial"/>
          <w:szCs w:val="22"/>
        </w:rPr>
        <w:t xml:space="preserve">person </w:t>
      </w:r>
      <w:r w:rsidRPr="0011015D">
        <w:rPr>
          <w:rFonts w:ascii="Georgia" w:hAnsi="Georgia" w:cs="Arial"/>
          <w:szCs w:val="22"/>
        </w:rPr>
        <w:t>to obtain a</w:t>
      </w:r>
      <w:r w:rsidRPr="0011015D">
        <w:rPr>
          <w:rFonts w:ascii="Georgia" w:hAnsi="Georgia" w:cs="Arial"/>
          <w:szCs w:val="22"/>
        </w:rPr>
        <w:t xml:space="preserve"> financial benefit or to avoid an obligation; or</w:t>
      </w:r>
    </w:p>
    <w:p w14:paraId="3FB01C0A" w14:textId="77777777" w:rsidR="00C2519B" w:rsidRPr="0011015D" w:rsidRDefault="000748BF" w:rsidP="00C2519B">
      <w:pPr>
        <w:pStyle w:val="BodyText"/>
        <w:tabs>
          <w:tab w:val="left" w:pos="709"/>
        </w:tabs>
        <w:spacing w:after="240"/>
        <w:ind w:left="709" w:hanging="709"/>
        <w:rPr>
          <w:rFonts w:ascii="Georgia" w:hAnsi="Georgia" w:cs="Arial"/>
          <w:szCs w:val="22"/>
        </w:rPr>
      </w:pPr>
      <w:r w:rsidRPr="0011015D">
        <w:rPr>
          <w:rFonts w:ascii="Georgia" w:hAnsi="Georgia" w:cs="Arial"/>
          <w:szCs w:val="22"/>
        </w:rPr>
        <w:t>(c)</w:t>
      </w:r>
      <w:r w:rsidRPr="0011015D">
        <w:rPr>
          <w:rFonts w:ascii="Georgia" w:hAnsi="Georgia" w:cs="Arial"/>
          <w:szCs w:val="22"/>
        </w:rPr>
        <w:tab/>
      </w:r>
      <w:r w:rsidRPr="0011015D">
        <w:rPr>
          <w:rFonts w:ascii="Georgia" w:hAnsi="Georgia" w:cs="Arial"/>
          <w:szCs w:val="22"/>
        </w:rPr>
        <w:t xml:space="preserve">materially impeding an investigation by </w:t>
      </w:r>
      <w:r w:rsidRPr="0011015D">
        <w:rPr>
          <w:rFonts w:ascii="Georgia" w:hAnsi="Georgia" w:cs="Arial"/>
          <w:szCs w:val="22"/>
        </w:rPr>
        <w:t>the Investors</w:t>
      </w:r>
      <w:r w:rsidRPr="00465916">
        <w:rPr>
          <w:rFonts w:ascii="Georgia" w:hAnsi="Georgia" w:cs="Arial"/>
          <w:szCs w:val="22"/>
        </w:rPr>
        <w:t>,</w:t>
      </w:r>
      <w:r w:rsidRPr="0011015D">
        <w:rPr>
          <w:rFonts w:ascii="Georgia" w:hAnsi="Georgia" w:cs="Arial"/>
          <w:szCs w:val="22"/>
        </w:rPr>
        <w:t xml:space="preserve"> a </w:t>
      </w:r>
      <w:r w:rsidRPr="0011015D">
        <w:rPr>
          <w:rFonts w:ascii="Georgia" w:hAnsi="Georgia" w:cs="Arial"/>
          <w:szCs w:val="22"/>
        </w:rPr>
        <w:t>government</w:t>
      </w:r>
      <w:r w:rsidRPr="0011015D">
        <w:rPr>
          <w:rFonts w:ascii="Georgia" w:hAnsi="Georgia" w:cs="Arial"/>
          <w:szCs w:val="22"/>
        </w:rPr>
        <w:t>al or regulatory agency</w:t>
      </w:r>
      <w:r w:rsidRPr="0011015D">
        <w:rPr>
          <w:rFonts w:ascii="Georgia" w:hAnsi="Georgia" w:cs="Arial"/>
          <w:szCs w:val="22"/>
        </w:rPr>
        <w:t xml:space="preserve"> or any third party into allegations of the matters referred to in paragraphs (a) or (b) of this definition, incl</w:t>
      </w:r>
      <w:r w:rsidRPr="0011015D">
        <w:rPr>
          <w:rFonts w:ascii="Georgia" w:hAnsi="Georgia" w:cs="Arial"/>
          <w:szCs w:val="22"/>
        </w:rPr>
        <w:t xml:space="preserve">uding </w:t>
      </w:r>
      <w:r w:rsidRPr="0011015D">
        <w:rPr>
          <w:rFonts w:ascii="Georgia" w:hAnsi="Georgia" w:cs="Arial"/>
          <w:szCs w:val="22"/>
        </w:rPr>
        <w:t xml:space="preserve">deliberately destroying, falsifying, altering or concealing material evidence, making false statements, limiting access, or threatening, harassing or intimidating any </w:t>
      </w:r>
      <w:r w:rsidRPr="0011015D">
        <w:rPr>
          <w:rFonts w:ascii="Georgia" w:hAnsi="Georgia" w:cs="Arial"/>
          <w:szCs w:val="22"/>
        </w:rPr>
        <w:t xml:space="preserve">person in order to stop them (i) </w:t>
      </w:r>
      <w:r w:rsidRPr="0011015D">
        <w:rPr>
          <w:rFonts w:ascii="Georgia" w:hAnsi="Georgia" w:cs="Arial"/>
          <w:szCs w:val="22"/>
        </w:rPr>
        <w:t xml:space="preserve">disclosing </w:t>
      </w:r>
      <w:r w:rsidRPr="0011015D">
        <w:rPr>
          <w:rFonts w:ascii="Georgia" w:hAnsi="Georgia" w:cs="Arial"/>
          <w:szCs w:val="22"/>
        </w:rPr>
        <w:t xml:space="preserve">their </w:t>
      </w:r>
      <w:r w:rsidRPr="0011015D">
        <w:rPr>
          <w:rFonts w:ascii="Georgia" w:hAnsi="Georgia" w:cs="Arial"/>
          <w:szCs w:val="22"/>
        </w:rPr>
        <w:t xml:space="preserve">knowledge of matters relevant to </w:t>
      </w:r>
      <w:r w:rsidRPr="0011015D">
        <w:rPr>
          <w:rFonts w:ascii="Georgia" w:hAnsi="Georgia" w:cs="Arial"/>
          <w:szCs w:val="22"/>
        </w:rPr>
        <w:t xml:space="preserve">such an </w:t>
      </w:r>
      <w:r w:rsidRPr="0011015D">
        <w:rPr>
          <w:rFonts w:ascii="Georgia" w:hAnsi="Georgia" w:cs="Arial"/>
          <w:szCs w:val="22"/>
        </w:rPr>
        <w:t>investigation</w:t>
      </w:r>
      <w:r w:rsidRPr="0011015D">
        <w:rPr>
          <w:rFonts w:ascii="Georgia" w:hAnsi="Georgia" w:cs="Arial"/>
          <w:szCs w:val="22"/>
        </w:rPr>
        <w:t>,</w:t>
      </w:r>
      <w:r w:rsidRPr="0011015D">
        <w:rPr>
          <w:rFonts w:ascii="Georgia" w:hAnsi="Georgia" w:cs="Arial"/>
          <w:szCs w:val="22"/>
        </w:rPr>
        <w:t xml:space="preserve"> or </w:t>
      </w:r>
      <w:r w:rsidRPr="0011015D">
        <w:rPr>
          <w:rFonts w:ascii="Georgia" w:hAnsi="Georgia" w:cs="Arial"/>
          <w:szCs w:val="22"/>
        </w:rPr>
        <w:t xml:space="preserve">(ii) </w:t>
      </w:r>
      <w:r w:rsidRPr="0011015D">
        <w:rPr>
          <w:rFonts w:ascii="Georgia" w:hAnsi="Georgia" w:cs="Arial"/>
          <w:szCs w:val="22"/>
        </w:rPr>
        <w:t xml:space="preserve">pursuing the investigation; </w:t>
      </w:r>
    </w:p>
    <w:p w14:paraId="3FB01C0B" w14:textId="77777777" w:rsidR="00487B1E" w:rsidRPr="0011015D" w:rsidRDefault="000748BF" w:rsidP="00487B1E">
      <w:pPr>
        <w:pStyle w:val="draftingnote"/>
      </w:pPr>
      <w:r w:rsidRPr="0011015D">
        <w:t>Financial institutions only</w:t>
      </w:r>
    </w:p>
    <w:p w14:paraId="3FB01C0C" w14:textId="77777777" w:rsidR="00487B1E" w:rsidRPr="00487B1E" w:rsidRDefault="000748BF" w:rsidP="00487B1E">
      <w:pPr>
        <w:pStyle w:val="Clausetext1"/>
        <w:rPr>
          <w:i/>
        </w:rPr>
      </w:pPr>
      <w:r>
        <w:rPr>
          <w:i/>
        </w:rPr>
        <w:t>[</w:t>
      </w:r>
      <w:r w:rsidRPr="00487B1E">
        <w:rPr>
          <w:i/>
        </w:rPr>
        <w:t>“</w:t>
      </w:r>
      <w:r w:rsidRPr="00487B1E">
        <w:rPr>
          <w:b/>
          <w:i/>
        </w:rPr>
        <w:t>High Risk Clients</w:t>
      </w:r>
      <w:r w:rsidRPr="00487B1E">
        <w:rPr>
          <w:i/>
        </w:rPr>
        <w:t>” means Clients who are or may be active in the industry sectors or otherwise falling within the criteria in Part D of Schedule [X] (</w:t>
      </w:r>
      <w:r w:rsidRPr="00487B1E">
        <w:rPr>
          <w:i/>
          <w:iCs/>
        </w:rPr>
        <w:t>Definition of Hi</w:t>
      </w:r>
      <w:r w:rsidRPr="00487B1E">
        <w:rPr>
          <w:i/>
          <w:iCs/>
        </w:rPr>
        <w:t>gh Risk Client industry sectors</w:t>
      </w:r>
      <w:r w:rsidRPr="00487B1E">
        <w:rPr>
          <w:i/>
        </w:rPr>
        <w:t>)</w:t>
      </w:r>
      <w:r>
        <w:rPr>
          <w:i/>
        </w:rPr>
        <w:t>;]</w:t>
      </w:r>
    </w:p>
    <w:p w14:paraId="3FB01C0D" w14:textId="77777777" w:rsidR="00FC607D" w:rsidRPr="0011015D" w:rsidRDefault="000748BF" w:rsidP="0011015D">
      <w:pPr>
        <w:pStyle w:val="Clausetext1"/>
      </w:pPr>
      <w:r w:rsidRPr="0011015D">
        <w:t>"</w:t>
      </w:r>
      <w:r w:rsidRPr="0011015D">
        <w:rPr>
          <w:b/>
        </w:rPr>
        <w:t>IFC</w:t>
      </w:r>
      <w:r w:rsidRPr="0011015D">
        <w:t xml:space="preserve"> </w:t>
      </w:r>
      <w:r w:rsidRPr="0011015D">
        <w:rPr>
          <w:b/>
        </w:rPr>
        <w:t>Performance Standards</w:t>
      </w:r>
      <w:r w:rsidRPr="0011015D">
        <w:t>" means the International Finance Corporation (IFC) 2012 Performance Standards on Social and Environmental Sustainability (including the technical reference documents known as World Bank Group En</w:t>
      </w:r>
      <w:r w:rsidRPr="0011015D">
        <w:t>vironmental, Health, and Safety (EHS) Guidelines) which may be downloaded from the IFC website:</w:t>
      </w:r>
    </w:p>
    <w:p w14:paraId="3FB01C0E" w14:textId="77777777" w:rsidR="00FC607D" w:rsidRPr="0011015D" w:rsidRDefault="000748BF" w:rsidP="0081293A">
      <w:pPr>
        <w:pStyle w:val="ListAlpha2"/>
        <w:numPr>
          <w:ilvl w:val="1"/>
          <w:numId w:val="9"/>
        </w:numPr>
        <w:tabs>
          <w:tab w:val="clear" w:pos="50"/>
          <w:tab w:val="clear" w:pos="1417"/>
          <w:tab w:val="num" w:pos="709"/>
        </w:tabs>
        <w:spacing w:after="240" w:line="280" w:lineRule="exact"/>
        <w:ind w:left="709" w:hanging="709"/>
        <w:jc w:val="left"/>
        <w:rPr>
          <w:rFonts w:ascii="Georgia" w:hAnsi="Georgia" w:cs="Arial"/>
          <w:szCs w:val="22"/>
        </w:rPr>
      </w:pPr>
      <w:r w:rsidRPr="0011015D">
        <w:rPr>
          <w:rFonts w:ascii="Georgia" w:hAnsi="Georgia" w:cs="Arial"/>
          <w:szCs w:val="22"/>
        </w:rPr>
        <w:t xml:space="preserve">IFC Performance Standards: </w:t>
      </w:r>
      <w:hyperlink r:id="rId14" w:history="1">
        <w:r w:rsidRPr="0011015D">
          <w:rPr>
            <w:rStyle w:val="Hyperlink"/>
            <w:rFonts w:cs="Arial"/>
            <w:szCs w:val="22"/>
          </w:rPr>
          <w:t>http://www.ifc.org/PerformanceStandards</w:t>
        </w:r>
      </w:hyperlink>
      <w:r w:rsidRPr="0011015D">
        <w:rPr>
          <w:rFonts w:ascii="Georgia" w:hAnsi="Georgia" w:cs="Arial"/>
          <w:szCs w:val="22"/>
        </w:rPr>
        <w:t>; and</w:t>
      </w:r>
    </w:p>
    <w:p w14:paraId="3FB01C0F" w14:textId="77777777" w:rsidR="00FC607D" w:rsidRPr="0011015D" w:rsidRDefault="000748BF" w:rsidP="0081293A">
      <w:pPr>
        <w:pStyle w:val="ListAlpha2"/>
        <w:numPr>
          <w:ilvl w:val="1"/>
          <w:numId w:val="8"/>
        </w:numPr>
        <w:tabs>
          <w:tab w:val="clear" w:pos="1417"/>
        </w:tabs>
        <w:spacing w:after="240" w:line="280" w:lineRule="exact"/>
        <w:ind w:left="709" w:hanging="709"/>
        <w:jc w:val="left"/>
        <w:rPr>
          <w:rFonts w:ascii="Georgia" w:hAnsi="Georgia" w:cs="Arial"/>
          <w:szCs w:val="22"/>
        </w:rPr>
      </w:pPr>
      <w:r w:rsidRPr="0011015D">
        <w:rPr>
          <w:rFonts w:ascii="Georgia" w:hAnsi="Georgia" w:cs="Arial"/>
          <w:szCs w:val="22"/>
        </w:rPr>
        <w:t xml:space="preserve">World Bank Group EHS Guidelines: </w:t>
      </w:r>
      <w:hyperlink r:id="rId15" w:history="1">
        <w:r w:rsidRPr="0011015D">
          <w:rPr>
            <w:rStyle w:val="Hyperlink"/>
            <w:rFonts w:cs="Arial"/>
            <w:szCs w:val="22"/>
          </w:rPr>
          <w:t>http://www.ifc.org/</w:t>
        </w:r>
        <w:r w:rsidRPr="0011015D">
          <w:rPr>
            <w:rStyle w:val="Hyperlink"/>
            <w:rFonts w:cs="Arial"/>
          </w:rPr>
          <w:t>EHS</w:t>
        </w:r>
        <w:r w:rsidRPr="0011015D">
          <w:rPr>
            <w:rStyle w:val="Hyperlink"/>
            <w:rFonts w:cs="Arial"/>
            <w:szCs w:val="22"/>
          </w:rPr>
          <w:t>Guidelines</w:t>
        </w:r>
      </w:hyperlink>
      <w:r w:rsidRPr="0011015D">
        <w:rPr>
          <w:rFonts w:ascii="Georgia" w:hAnsi="Georgia" w:cs="Arial"/>
          <w:szCs w:val="22"/>
        </w:rPr>
        <w:t>;</w:t>
      </w:r>
    </w:p>
    <w:p w14:paraId="3FB01C10" w14:textId="77777777" w:rsidR="00FC607D" w:rsidRPr="0011015D" w:rsidRDefault="000748BF" w:rsidP="00FC607D">
      <w:pPr>
        <w:pStyle w:val="BodyText"/>
        <w:spacing w:after="240"/>
        <w:rPr>
          <w:rFonts w:ascii="Georgia" w:hAnsi="Georgia" w:cs="Arial"/>
          <w:szCs w:val="22"/>
          <w:lang w:eastAsia="zh-CN"/>
        </w:rPr>
      </w:pPr>
      <w:r w:rsidRPr="0011015D">
        <w:rPr>
          <w:rFonts w:ascii="Georgia" w:hAnsi="Georgia" w:cs="Arial"/>
          <w:szCs w:val="22"/>
          <w:lang w:eastAsia="zh-CN"/>
        </w:rPr>
        <w:t>"</w:t>
      </w:r>
      <w:r w:rsidRPr="0011015D">
        <w:rPr>
          <w:rFonts w:ascii="Georgia" w:hAnsi="Georgia" w:cs="Arial"/>
          <w:b/>
          <w:bCs/>
          <w:szCs w:val="22"/>
          <w:lang w:eastAsia="zh-CN"/>
        </w:rPr>
        <w:t>ILO Convention</w:t>
      </w:r>
      <w:r w:rsidRPr="0011015D">
        <w:rPr>
          <w:rFonts w:ascii="Georgia" w:hAnsi="Georgia" w:cs="Arial"/>
          <w:szCs w:val="22"/>
          <w:lang w:eastAsia="zh-CN"/>
        </w:rPr>
        <w:t xml:space="preserve">" means a convention of the </w:t>
      </w:r>
      <w:r w:rsidRPr="0011015D">
        <w:rPr>
          <w:rFonts w:ascii="Georgia" w:hAnsi="Georgia" w:cs="Arial"/>
          <w:szCs w:val="22"/>
        </w:rPr>
        <w:t>International</w:t>
      </w:r>
      <w:r w:rsidRPr="0011015D">
        <w:rPr>
          <w:rFonts w:ascii="Georgia" w:hAnsi="Georgia" w:cs="Arial"/>
          <w:szCs w:val="22"/>
          <w:lang w:eastAsia="zh-CN"/>
        </w:rPr>
        <w:t xml:space="preserve"> Labour Organisation (ILO), the tripartite United Nations agency, whose conventions may be downloaded from the ILO website: http://www.ilo.org/global/standards/lang--en/index.htm; </w:t>
      </w:r>
    </w:p>
    <w:p w14:paraId="3FB01C11" w14:textId="77777777" w:rsidR="00397BCE" w:rsidRPr="0011015D" w:rsidRDefault="000748BF" w:rsidP="00FC607D">
      <w:pPr>
        <w:pStyle w:val="BodyText"/>
        <w:spacing w:after="240"/>
        <w:rPr>
          <w:rFonts w:ascii="Georgia" w:hAnsi="Georgia" w:cs="Arial"/>
          <w:szCs w:val="22"/>
          <w:lang w:eastAsia="zh-CN"/>
        </w:rPr>
      </w:pPr>
      <w:r w:rsidRPr="0011015D">
        <w:rPr>
          <w:rFonts w:ascii="Georgia" w:hAnsi="Georgia" w:cs="Arial"/>
          <w:szCs w:val="22"/>
          <w:lang w:eastAsia="zh-CN"/>
        </w:rPr>
        <w:t>“</w:t>
      </w:r>
      <w:r w:rsidRPr="0011015D">
        <w:rPr>
          <w:rFonts w:ascii="Georgia" w:hAnsi="Georgia" w:cs="Arial"/>
          <w:b/>
          <w:szCs w:val="22"/>
          <w:lang w:eastAsia="zh-CN"/>
        </w:rPr>
        <w:t>Irremediable ESG Breach</w:t>
      </w:r>
      <w:r w:rsidRPr="0011015D">
        <w:rPr>
          <w:rFonts w:ascii="Georgia" w:hAnsi="Georgia" w:cs="Arial"/>
          <w:szCs w:val="22"/>
          <w:lang w:eastAsia="zh-CN"/>
        </w:rPr>
        <w:t>” is defined in clause [5.1];</w:t>
      </w:r>
    </w:p>
    <w:p w14:paraId="3FB01C12" w14:textId="77777777" w:rsidR="00524BD5" w:rsidRDefault="000748BF" w:rsidP="00FC607D">
      <w:pPr>
        <w:pStyle w:val="BodyText"/>
        <w:spacing w:after="240"/>
        <w:rPr>
          <w:rFonts w:ascii="Georgia" w:hAnsi="Georgia" w:cs="Arial"/>
          <w:szCs w:val="22"/>
          <w:lang w:eastAsia="zh-CN"/>
        </w:rPr>
      </w:pPr>
      <w:r>
        <w:rPr>
          <w:rFonts w:ascii="Georgia" w:hAnsi="Georgia" w:cs="Arial"/>
          <w:szCs w:val="22"/>
          <w:lang w:eastAsia="zh-CN"/>
        </w:rPr>
        <w:t>“</w:t>
      </w:r>
      <w:r w:rsidRPr="00524BD5">
        <w:rPr>
          <w:rFonts w:ascii="Georgia" w:hAnsi="Georgia" w:cs="Arial"/>
          <w:b/>
          <w:szCs w:val="22"/>
          <w:lang w:eastAsia="zh-CN"/>
        </w:rPr>
        <w:t>KYC Checks</w:t>
      </w:r>
      <w:r>
        <w:rPr>
          <w:rFonts w:ascii="Georgia" w:hAnsi="Georgia" w:cs="Arial"/>
          <w:szCs w:val="22"/>
          <w:lang w:eastAsia="zh-CN"/>
        </w:rPr>
        <w:t>”</w:t>
      </w:r>
      <w:r w:rsidRPr="00524BD5">
        <w:rPr>
          <w:rFonts w:ascii="Georgia" w:hAnsi="Georgia" w:cs="Arial"/>
          <w:szCs w:val="22"/>
          <w:lang w:eastAsia="zh-CN"/>
        </w:rPr>
        <w:t xml:space="preserve"> means obtaining information from a Person to verify the identity and address (and, where applicable, ownership and control) of the Person concerned (to the standard required by any </w:t>
      </w:r>
      <w:r>
        <w:rPr>
          <w:rFonts w:ascii="Georgia" w:hAnsi="Georgia" w:cs="Arial"/>
          <w:szCs w:val="22"/>
          <w:lang w:eastAsia="zh-CN"/>
        </w:rPr>
        <w:t>law or regulation</w:t>
      </w:r>
      <w:r w:rsidRPr="00524BD5">
        <w:rPr>
          <w:rFonts w:ascii="Georgia" w:hAnsi="Georgia" w:cs="Arial"/>
          <w:szCs w:val="22"/>
          <w:lang w:eastAsia="zh-CN"/>
        </w:rPr>
        <w:t xml:space="preserve"> to which the </w:t>
      </w:r>
      <w:r>
        <w:rPr>
          <w:rFonts w:ascii="Georgia" w:hAnsi="Georgia" w:cs="Arial"/>
          <w:szCs w:val="22"/>
          <w:lang w:eastAsia="zh-CN"/>
        </w:rPr>
        <w:t xml:space="preserve">Group </w:t>
      </w:r>
      <w:r w:rsidRPr="00524BD5">
        <w:rPr>
          <w:rFonts w:ascii="Georgia" w:hAnsi="Georgia" w:cs="Arial"/>
          <w:szCs w:val="22"/>
          <w:lang w:eastAsia="zh-CN"/>
        </w:rPr>
        <w:t>Company is subject and the UK Financi</w:t>
      </w:r>
      <w:r w:rsidRPr="00524BD5">
        <w:rPr>
          <w:rFonts w:ascii="Georgia" w:hAnsi="Georgia" w:cs="Arial"/>
          <w:szCs w:val="22"/>
          <w:lang w:eastAsia="zh-CN"/>
        </w:rPr>
        <w:t xml:space="preserve">al Conduct Authority regulations) and </w:t>
      </w:r>
      <w:r>
        <w:rPr>
          <w:rFonts w:ascii="Georgia" w:hAnsi="Georgia" w:cs="Arial"/>
          <w:szCs w:val="22"/>
          <w:lang w:eastAsia="zh-CN"/>
        </w:rPr>
        <w:t xml:space="preserve">to ensure </w:t>
      </w:r>
      <w:r w:rsidRPr="00524BD5">
        <w:rPr>
          <w:rFonts w:ascii="Georgia" w:hAnsi="Georgia" w:cs="Arial"/>
          <w:szCs w:val="22"/>
          <w:lang w:eastAsia="zh-CN"/>
        </w:rPr>
        <w:t xml:space="preserve">that the person concerned is not a Prohibited Person; </w:t>
      </w:r>
    </w:p>
    <w:p w14:paraId="3FB01C13" w14:textId="77777777" w:rsidR="00524BD5" w:rsidRPr="00524BD5" w:rsidRDefault="000748BF" w:rsidP="00524BD5">
      <w:pPr>
        <w:pStyle w:val="BodyText"/>
        <w:spacing w:after="240"/>
        <w:rPr>
          <w:rFonts w:ascii="Georgia" w:hAnsi="Georgia" w:cs="Arial"/>
          <w:szCs w:val="22"/>
        </w:rPr>
      </w:pPr>
      <w:r>
        <w:rPr>
          <w:rFonts w:ascii="Georgia" w:hAnsi="Georgia" w:cs="Arial"/>
          <w:szCs w:val="22"/>
        </w:rPr>
        <w:t>“</w:t>
      </w:r>
      <w:r w:rsidRPr="00524BD5">
        <w:rPr>
          <w:rFonts w:ascii="Georgia" w:hAnsi="Georgia" w:cs="Arial"/>
          <w:b/>
          <w:szCs w:val="22"/>
        </w:rPr>
        <w:t>Prohibited Person</w:t>
      </w:r>
      <w:r>
        <w:rPr>
          <w:rFonts w:ascii="Georgia" w:hAnsi="Georgia" w:cs="Arial"/>
          <w:szCs w:val="22"/>
        </w:rPr>
        <w:t>”</w:t>
      </w:r>
      <w:r w:rsidRPr="00524BD5">
        <w:rPr>
          <w:rFonts w:ascii="Georgia" w:hAnsi="Georgia" w:cs="Arial"/>
          <w:szCs w:val="22"/>
        </w:rPr>
        <w:t xml:space="preserve"> means:</w:t>
      </w:r>
    </w:p>
    <w:p w14:paraId="3FB01C14" w14:textId="77777777" w:rsidR="00524BD5" w:rsidRPr="00524BD5" w:rsidRDefault="000748BF" w:rsidP="00524BD5">
      <w:pPr>
        <w:pStyle w:val="BodyText"/>
        <w:tabs>
          <w:tab w:val="left" w:pos="709"/>
        </w:tabs>
        <w:spacing w:after="240"/>
        <w:ind w:left="709" w:hanging="709"/>
        <w:rPr>
          <w:rFonts w:ascii="Georgia" w:hAnsi="Georgia" w:cs="Arial"/>
          <w:szCs w:val="22"/>
        </w:rPr>
      </w:pPr>
      <w:r w:rsidRPr="00524BD5">
        <w:rPr>
          <w:rFonts w:ascii="Georgia" w:hAnsi="Georgia" w:cs="Arial"/>
          <w:szCs w:val="22"/>
        </w:rPr>
        <w:t>(a)</w:t>
      </w:r>
      <w:r w:rsidRPr="00524BD5">
        <w:rPr>
          <w:rFonts w:ascii="Georgia" w:hAnsi="Georgia" w:cs="Arial"/>
          <w:szCs w:val="22"/>
        </w:rPr>
        <w:tab/>
        <w:t xml:space="preserve">any person or entity </w:t>
      </w:r>
      <w:r>
        <w:rPr>
          <w:rFonts w:ascii="Georgia" w:hAnsi="Georgia" w:cs="Arial"/>
          <w:szCs w:val="22"/>
        </w:rPr>
        <w:t xml:space="preserve">who </w:t>
      </w:r>
      <w:r w:rsidRPr="00524BD5">
        <w:rPr>
          <w:rFonts w:ascii="Georgia" w:hAnsi="Georgia" w:cs="Arial"/>
          <w:szCs w:val="22"/>
        </w:rPr>
        <w:t xml:space="preserve">at the relevant date is, or in the five years preceding such date was, listed on </w:t>
      </w:r>
      <w:r>
        <w:rPr>
          <w:rFonts w:ascii="Georgia" w:hAnsi="Georgia" w:cs="Arial"/>
          <w:szCs w:val="22"/>
        </w:rPr>
        <w:t>any Sanctions Li</w:t>
      </w:r>
      <w:r>
        <w:rPr>
          <w:rFonts w:ascii="Georgia" w:hAnsi="Georgia" w:cs="Arial"/>
          <w:szCs w:val="22"/>
        </w:rPr>
        <w:t>st</w:t>
      </w:r>
      <w:r w:rsidRPr="00524BD5">
        <w:rPr>
          <w:rFonts w:ascii="Georgia" w:hAnsi="Georgia" w:cs="Arial"/>
          <w:szCs w:val="22"/>
        </w:rPr>
        <w:t>;</w:t>
      </w:r>
    </w:p>
    <w:p w14:paraId="3FB01C15" w14:textId="77777777" w:rsidR="00524BD5" w:rsidRPr="00524BD5" w:rsidRDefault="000748BF" w:rsidP="00524BD5">
      <w:pPr>
        <w:pStyle w:val="BodyText"/>
        <w:tabs>
          <w:tab w:val="left" w:pos="709"/>
        </w:tabs>
        <w:spacing w:after="240"/>
        <w:ind w:left="709" w:hanging="709"/>
        <w:rPr>
          <w:rFonts w:ascii="Georgia" w:hAnsi="Georgia" w:cs="Arial"/>
          <w:szCs w:val="22"/>
        </w:rPr>
      </w:pPr>
      <w:r w:rsidRPr="00524BD5">
        <w:rPr>
          <w:rFonts w:ascii="Georgia" w:hAnsi="Georgia" w:cs="Arial"/>
          <w:szCs w:val="22"/>
        </w:rPr>
        <w:t>(b)</w:t>
      </w:r>
      <w:r w:rsidRPr="00524BD5">
        <w:rPr>
          <w:rFonts w:ascii="Georgia" w:hAnsi="Georgia" w:cs="Arial"/>
          <w:szCs w:val="22"/>
        </w:rPr>
        <w:tab/>
        <w:t>any person who appears, or during such five year period appeared, on the World Bank Listing of Ineligible Firms (see www.worldbank.org/debarr);</w:t>
      </w:r>
    </w:p>
    <w:p w14:paraId="3FB01C16" w14:textId="77777777" w:rsidR="00524BD5" w:rsidRPr="00524BD5" w:rsidRDefault="000748BF" w:rsidP="00524BD5">
      <w:pPr>
        <w:pStyle w:val="BodyText"/>
        <w:tabs>
          <w:tab w:val="left" w:pos="709"/>
        </w:tabs>
        <w:spacing w:after="240"/>
        <w:ind w:left="709" w:hanging="709"/>
        <w:rPr>
          <w:rFonts w:ascii="Georgia" w:hAnsi="Georgia" w:cs="Arial"/>
          <w:szCs w:val="22"/>
        </w:rPr>
      </w:pPr>
      <w:r w:rsidRPr="00524BD5">
        <w:rPr>
          <w:rFonts w:ascii="Georgia" w:hAnsi="Georgia" w:cs="Arial"/>
          <w:szCs w:val="22"/>
        </w:rPr>
        <w:t>(c)</w:t>
      </w:r>
      <w:r w:rsidRPr="00524BD5">
        <w:rPr>
          <w:rFonts w:ascii="Georgia" w:hAnsi="Georgia" w:cs="Arial"/>
          <w:szCs w:val="22"/>
        </w:rPr>
        <w:tab/>
        <w:t>any person who has been convicted of or is the subject of a serious allegation of (other than vexati</w:t>
      </w:r>
      <w:r w:rsidRPr="00524BD5">
        <w:rPr>
          <w:rFonts w:ascii="Georgia" w:hAnsi="Georgia" w:cs="Arial"/>
          <w:szCs w:val="22"/>
        </w:rPr>
        <w:t>ous allegations) a breach of any Business Integrity Law;</w:t>
      </w:r>
    </w:p>
    <w:p w14:paraId="3FB01C17" w14:textId="77777777" w:rsidR="00524BD5" w:rsidRDefault="000748BF" w:rsidP="00524BD5">
      <w:pPr>
        <w:pStyle w:val="BodyText"/>
        <w:tabs>
          <w:tab w:val="left" w:pos="709"/>
        </w:tabs>
        <w:spacing w:after="240"/>
        <w:ind w:left="709" w:hanging="709"/>
        <w:rPr>
          <w:rFonts w:ascii="Georgia" w:hAnsi="Georgia" w:cs="Arial"/>
          <w:szCs w:val="22"/>
        </w:rPr>
      </w:pPr>
      <w:r w:rsidRPr="00524BD5">
        <w:rPr>
          <w:rFonts w:ascii="Georgia" w:hAnsi="Georgia" w:cs="Arial"/>
          <w:szCs w:val="22"/>
        </w:rPr>
        <w:lastRenderedPageBreak/>
        <w:t>(d)</w:t>
      </w:r>
      <w:r w:rsidRPr="00524BD5">
        <w:rPr>
          <w:rFonts w:ascii="Georgia" w:hAnsi="Georgia" w:cs="Arial"/>
          <w:szCs w:val="22"/>
        </w:rPr>
        <w:tab/>
        <w:t xml:space="preserve">any person Controlled (directly or indirectly) by any such person referred to in paragraphs (a) to (c) above or who such person has (directly or indirectly) any interest in; </w:t>
      </w:r>
    </w:p>
    <w:p w14:paraId="3FB01C18" w14:textId="77777777" w:rsidR="00FC607D" w:rsidRPr="0011015D" w:rsidRDefault="000748BF" w:rsidP="00524BD5">
      <w:pPr>
        <w:pStyle w:val="BodyText"/>
        <w:spacing w:after="240"/>
        <w:rPr>
          <w:rFonts w:ascii="Georgia" w:hAnsi="Georgia" w:cs="Arial"/>
          <w:szCs w:val="22"/>
        </w:rPr>
      </w:pPr>
      <w:r w:rsidRPr="0011015D">
        <w:rPr>
          <w:rFonts w:ascii="Georgia" w:hAnsi="Georgia" w:cs="Arial"/>
          <w:szCs w:val="22"/>
        </w:rPr>
        <w:t>“</w:t>
      </w:r>
      <w:r w:rsidRPr="0011015D">
        <w:rPr>
          <w:rFonts w:ascii="Georgia" w:hAnsi="Georgia" w:cs="Arial"/>
          <w:b/>
          <w:szCs w:val="22"/>
        </w:rPr>
        <w:t>Sanctioning Body</w:t>
      </w:r>
      <w:r w:rsidRPr="0011015D">
        <w:rPr>
          <w:rFonts w:ascii="Georgia" w:hAnsi="Georgia" w:cs="Arial"/>
          <w:szCs w:val="22"/>
        </w:rPr>
        <w:t>"</w:t>
      </w:r>
      <w:r w:rsidRPr="0011015D">
        <w:rPr>
          <w:rFonts w:ascii="Georgia" w:hAnsi="Georgia" w:cs="Arial"/>
          <w:b/>
          <w:szCs w:val="22"/>
        </w:rPr>
        <w:t xml:space="preserve"> </w:t>
      </w:r>
      <w:r w:rsidRPr="0011015D">
        <w:rPr>
          <w:rFonts w:ascii="Georgia" w:hAnsi="Georgia" w:cs="Arial"/>
          <w:szCs w:val="22"/>
        </w:rPr>
        <w:t>m</w:t>
      </w:r>
      <w:r w:rsidRPr="0011015D">
        <w:rPr>
          <w:rFonts w:ascii="Georgia" w:hAnsi="Georgia" w:cs="Arial"/>
          <w:szCs w:val="22"/>
        </w:rPr>
        <w:t>eans any one or combination of the following entities: the Office of Foreign Assets Control of the Department of Treasury of the United States of America, the United Nations Security Council, the European Union and/or Her Majesty’s</w:t>
      </w:r>
      <w:r w:rsidRPr="0011015D">
        <w:rPr>
          <w:rFonts w:ascii="Georgia" w:hAnsi="Georgia" w:cs="Arial"/>
          <w:szCs w:val="22"/>
        </w:rPr>
        <w:t xml:space="preserve"> Treasury of the United K</w:t>
      </w:r>
      <w:r w:rsidRPr="0011015D">
        <w:rPr>
          <w:rFonts w:ascii="Georgia" w:hAnsi="Georgia" w:cs="Arial"/>
          <w:szCs w:val="22"/>
        </w:rPr>
        <w:t>ingdom;</w:t>
      </w:r>
    </w:p>
    <w:p w14:paraId="3FB01C19" w14:textId="77777777" w:rsidR="00DF6783" w:rsidRDefault="000748BF" w:rsidP="00DF6783">
      <w:pPr>
        <w:pStyle w:val="BodyText"/>
        <w:spacing w:after="240"/>
        <w:rPr>
          <w:rFonts w:ascii="Georgia" w:hAnsi="Georgia" w:cs="Arial"/>
          <w:szCs w:val="22"/>
        </w:rPr>
      </w:pPr>
      <w:r w:rsidRPr="00DF6783">
        <w:rPr>
          <w:rFonts w:ascii="Georgia" w:hAnsi="Georgia" w:cs="Arial"/>
          <w:szCs w:val="22"/>
        </w:rPr>
        <w:t>“</w:t>
      </w:r>
      <w:r w:rsidRPr="00DF6783">
        <w:rPr>
          <w:rFonts w:ascii="Georgia" w:hAnsi="Georgia" w:cs="Arial"/>
          <w:b/>
          <w:szCs w:val="22"/>
        </w:rPr>
        <w:t>Sanctions List</w:t>
      </w:r>
      <w:r w:rsidRPr="00DF6783">
        <w:rPr>
          <w:rFonts w:ascii="Georgia" w:hAnsi="Georgia" w:cs="Arial"/>
          <w:szCs w:val="22"/>
        </w:rPr>
        <w:t>”</w:t>
      </w:r>
      <w:r>
        <w:rPr>
          <w:rFonts w:ascii="Georgia" w:hAnsi="Georgia" w:cs="Arial"/>
          <w:szCs w:val="22"/>
        </w:rPr>
        <w:t xml:space="preserve"> means a </w:t>
      </w:r>
      <w:r w:rsidRPr="00DF6783">
        <w:rPr>
          <w:rFonts w:ascii="Georgia" w:hAnsi="Georgia" w:cs="Arial"/>
          <w:szCs w:val="22"/>
        </w:rPr>
        <w:t>list of designated persons or entities held by a Sanctioning Body (as amended, supplemented or substi</w:t>
      </w:r>
      <w:r>
        <w:rPr>
          <w:rFonts w:ascii="Georgia" w:hAnsi="Georgia" w:cs="Arial"/>
          <w:szCs w:val="22"/>
        </w:rPr>
        <w:t>tuted from time to time);</w:t>
      </w:r>
    </w:p>
    <w:p w14:paraId="3FB01C1A" w14:textId="77777777" w:rsidR="00FC607D" w:rsidRPr="0011015D" w:rsidRDefault="000748BF" w:rsidP="0011015D">
      <w:pPr>
        <w:pStyle w:val="Clausetext1"/>
      </w:pPr>
      <w:r w:rsidRPr="0011015D">
        <w:t>"</w:t>
      </w:r>
      <w:r w:rsidRPr="0011015D">
        <w:rPr>
          <w:b/>
          <w:bCs/>
        </w:rPr>
        <w:t>Social Law</w:t>
      </w:r>
      <w:r w:rsidRPr="0011015D">
        <w:t xml:space="preserve">" means any law, rule or regulation (including international treaty obligations) </w:t>
      </w:r>
      <w:r w:rsidRPr="0011015D">
        <w:t xml:space="preserve">applicable in the jurisdiction of the Country concerning (i) labour, (ii) social security, (iii) the regulation of industrial relations (between government, employers and employees), </w:t>
      </w:r>
      <w:r>
        <w:t xml:space="preserve">(iv) </w:t>
      </w:r>
      <w:r w:rsidRPr="0011015D">
        <w:t>the payment of wages which meet or exceed industry or legal national</w:t>
      </w:r>
      <w:r w:rsidRPr="0011015D">
        <w:t xml:space="preserve"> minima</w:t>
      </w:r>
      <w:r>
        <w:t>,</w:t>
      </w:r>
      <w:r w:rsidRPr="0011015D">
        <w:t xml:space="preserve"> </w:t>
      </w:r>
      <w:r w:rsidRPr="0011015D">
        <w:t>(v) the protection of occupational as well as public health and safety, (v</w:t>
      </w:r>
      <w:r>
        <w:t>i</w:t>
      </w:r>
      <w:r w:rsidRPr="0011015D">
        <w:t>) the regulation of public participation, (vi</w:t>
      </w:r>
      <w:r>
        <w:t>i</w:t>
      </w:r>
      <w:r w:rsidRPr="0011015D">
        <w:t>) the protection and regulation of ownership of land rights (both formal and traditional), immovable goods and intellectual an</w:t>
      </w:r>
      <w:r w:rsidRPr="0011015D">
        <w:t>d cultural property rights, (vii</w:t>
      </w:r>
      <w:r>
        <w:t>i</w:t>
      </w:r>
      <w:r w:rsidRPr="0011015D">
        <w:t>) the protection and empowerment of indigenous peoples and ethnic groups, (</w:t>
      </w:r>
      <w:r>
        <w:t>ix</w:t>
      </w:r>
      <w:r w:rsidRPr="0011015D">
        <w:t>) the protection of cultural heritage, and (x) all other laws, rules and regulations providing for the protection of employees and citizens</w:t>
      </w:r>
      <w:r w:rsidRPr="0011015D">
        <w:t>;</w:t>
      </w:r>
    </w:p>
    <w:p w14:paraId="3FB01C1B" w14:textId="77777777" w:rsidR="00FC607D" w:rsidRPr="0011015D" w:rsidRDefault="000748BF" w:rsidP="0011015D">
      <w:pPr>
        <w:pStyle w:val="Clausetext1"/>
      </w:pPr>
      <w:r w:rsidRPr="0011015D">
        <w:t>Refer</w:t>
      </w:r>
      <w:r w:rsidRPr="0011015D">
        <w:t>ences to governmental, supranational, or international bodies or their procedures, protocols or conventions (including IFC Performance Standards and ILO Conventions) or to treaties or to other rules, regulations issued by or deriving from them shall includ</w:t>
      </w:r>
      <w:r w:rsidRPr="0011015D">
        <w:t>e those bodies, procedures, protocols, conventions, standards, treaties, rules, or regulations as they may be renamed, reorganised, replaced, amended, or superseded from time to time.</w:t>
      </w:r>
    </w:p>
    <w:p w14:paraId="3FB01C1C" w14:textId="77777777" w:rsidR="00F355CE" w:rsidRPr="00465916" w:rsidRDefault="000748BF" w:rsidP="00F355CE">
      <w:pPr>
        <w:pStyle w:val="draftingnote"/>
      </w:pPr>
      <w:r w:rsidRPr="00465916">
        <w:t>Similar language is common in most investment agreements.  Delete if rep</w:t>
      </w:r>
      <w:r w:rsidRPr="00465916">
        <w:t>etitious</w:t>
      </w:r>
    </w:p>
    <w:p w14:paraId="3FB01C1D" w14:textId="77777777" w:rsidR="000003EB" w:rsidRPr="0011015D" w:rsidRDefault="000748BF" w:rsidP="0011015D">
      <w:pPr>
        <w:pStyle w:val="Clausetext1"/>
      </w:pPr>
      <w:r w:rsidRPr="0011015D">
        <w:t>The expressions “</w:t>
      </w:r>
      <w:r w:rsidRPr="0011015D">
        <w:rPr>
          <w:b/>
        </w:rPr>
        <w:t>include</w:t>
      </w:r>
      <w:r w:rsidRPr="0011015D">
        <w:t>” and “</w:t>
      </w:r>
      <w:r w:rsidRPr="0011015D">
        <w:rPr>
          <w:b/>
        </w:rPr>
        <w:t>including</w:t>
      </w:r>
      <w:r w:rsidRPr="0011015D">
        <w:t>” shall be construed without limitation.</w:t>
      </w:r>
    </w:p>
    <w:p w14:paraId="3FB01C1E" w14:textId="77777777" w:rsidR="00FC607D" w:rsidRPr="0011015D" w:rsidRDefault="000748BF" w:rsidP="00051DC3">
      <w:pPr>
        <w:pStyle w:val="Heading2"/>
        <w:rPr>
          <w:rFonts w:ascii="Georgia" w:hAnsi="Georgia"/>
        </w:rPr>
      </w:pPr>
      <w:bookmarkStart w:id="9" w:name="_Toc368064308"/>
      <w:bookmarkStart w:id="10" w:name="_Toc456289230"/>
      <w:bookmarkStart w:id="11" w:name="_Toc451759965"/>
      <w:bookmarkStart w:id="12" w:name="_Toc462908776"/>
      <w:r w:rsidRPr="0011015D">
        <w:rPr>
          <w:rFonts w:ascii="Georgia" w:hAnsi="Georgia"/>
        </w:rPr>
        <w:t xml:space="preserve">ESG </w:t>
      </w:r>
      <w:r w:rsidRPr="0011015D">
        <w:rPr>
          <w:rFonts w:ascii="Georgia" w:hAnsi="Georgia"/>
        </w:rPr>
        <w:t>c</w:t>
      </w:r>
      <w:r w:rsidRPr="0011015D">
        <w:rPr>
          <w:rFonts w:ascii="Georgia" w:hAnsi="Georgia"/>
        </w:rPr>
        <w:t xml:space="preserve">onditions </w:t>
      </w:r>
      <w:r w:rsidRPr="0011015D">
        <w:rPr>
          <w:rFonts w:ascii="Georgia" w:hAnsi="Georgia"/>
        </w:rPr>
        <w:t>p</w:t>
      </w:r>
      <w:r w:rsidRPr="0011015D">
        <w:rPr>
          <w:rFonts w:ascii="Georgia" w:hAnsi="Georgia"/>
        </w:rPr>
        <w:t>recedent</w:t>
      </w:r>
      <w:bookmarkEnd w:id="9"/>
      <w:bookmarkEnd w:id="10"/>
      <w:bookmarkEnd w:id="11"/>
      <w:bookmarkEnd w:id="12"/>
    </w:p>
    <w:p w14:paraId="3FB01C1F" w14:textId="77777777" w:rsidR="00FC607D" w:rsidRPr="0011015D" w:rsidRDefault="000748BF" w:rsidP="0011015D">
      <w:pPr>
        <w:pStyle w:val="draftingnote"/>
      </w:pPr>
      <w:r w:rsidRPr="0011015D">
        <w:t xml:space="preserve">Depending on </w:t>
      </w:r>
      <w:r w:rsidRPr="0011015D">
        <w:t>the</w:t>
      </w:r>
      <w:r w:rsidRPr="0011015D">
        <w:t xml:space="preserve"> outcome of due diligence, conditions precedent to create remuneration, audit or ESG committees may be required</w:t>
      </w:r>
    </w:p>
    <w:p w14:paraId="3FB01C20" w14:textId="77777777" w:rsidR="00FC607D" w:rsidRPr="0011015D" w:rsidRDefault="000748BF" w:rsidP="00C91938">
      <w:pPr>
        <w:pStyle w:val="ScheduleText2"/>
      </w:pPr>
      <w:r w:rsidRPr="0011015D">
        <w:t>The Company m</w:t>
      </w:r>
      <w:r w:rsidRPr="0011015D">
        <w:t xml:space="preserve">ust adopt </w:t>
      </w:r>
      <w:r w:rsidRPr="0011015D">
        <w:t xml:space="preserve">an </w:t>
      </w:r>
      <w:r w:rsidRPr="0011015D">
        <w:t>anti-bribery and corruption policy and a whistle-blowing policy for the Group (including explanations and procedures) in each case in [the Agreed Form][a form satisfactory to the Investors];</w:t>
      </w:r>
    </w:p>
    <w:p w14:paraId="3FB01C21" w14:textId="77777777" w:rsidR="00FC607D" w:rsidRPr="0011015D" w:rsidRDefault="000748BF" w:rsidP="00051DC3">
      <w:pPr>
        <w:pStyle w:val="Heading2"/>
        <w:rPr>
          <w:rFonts w:ascii="Georgia" w:hAnsi="Georgia"/>
        </w:rPr>
      </w:pPr>
      <w:bookmarkStart w:id="13" w:name="_Toc368064309"/>
      <w:bookmarkStart w:id="14" w:name="_Toc456289231"/>
      <w:bookmarkStart w:id="15" w:name="_Toc451759966"/>
      <w:bookmarkStart w:id="16" w:name="_Toc462908777"/>
      <w:r w:rsidRPr="0011015D">
        <w:rPr>
          <w:rFonts w:ascii="Georgia" w:hAnsi="Georgia"/>
        </w:rPr>
        <w:t xml:space="preserve">ESG </w:t>
      </w:r>
      <w:r w:rsidRPr="0011015D">
        <w:rPr>
          <w:rFonts w:ascii="Georgia" w:hAnsi="Georgia"/>
        </w:rPr>
        <w:t>r</w:t>
      </w:r>
      <w:r w:rsidRPr="0011015D">
        <w:rPr>
          <w:rFonts w:ascii="Georgia" w:hAnsi="Georgia"/>
        </w:rPr>
        <w:t xml:space="preserve">epresentations and </w:t>
      </w:r>
      <w:r w:rsidRPr="0011015D">
        <w:rPr>
          <w:rFonts w:ascii="Georgia" w:hAnsi="Georgia"/>
        </w:rPr>
        <w:t>w</w:t>
      </w:r>
      <w:r w:rsidRPr="0011015D">
        <w:rPr>
          <w:rFonts w:ascii="Georgia" w:hAnsi="Georgia"/>
        </w:rPr>
        <w:t>arranties</w:t>
      </w:r>
      <w:bookmarkEnd w:id="13"/>
      <w:bookmarkEnd w:id="14"/>
      <w:bookmarkEnd w:id="15"/>
      <w:bookmarkEnd w:id="16"/>
    </w:p>
    <w:p w14:paraId="3FB01C22" w14:textId="77777777" w:rsidR="00C91938" w:rsidRDefault="000748BF" w:rsidP="0011015D">
      <w:pPr>
        <w:pStyle w:val="draftingnote"/>
      </w:pPr>
      <w:r>
        <w:t xml:space="preserve">Notes on </w:t>
      </w:r>
      <w:r>
        <w:t>warranties:</w:t>
      </w:r>
    </w:p>
    <w:p w14:paraId="3FB01C23" w14:textId="77777777" w:rsidR="00FC607D" w:rsidRPr="0011015D" w:rsidRDefault="000748BF" w:rsidP="002F0BF4">
      <w:pPr>
        <w:pStyle w:val="draftingnote"/>
        <w:tabs>
          <w:tab w:val="left" w:pos="709"/>
        </w:tabs>
        <w:ind w:left="709" w:hanging="709"/>
      </w:pPr>
      <w:r>
        <w:t>(i)</w:t>
      </w:r>
      <w:r>
        <w:tab/>
      </w:r>
      <w:r w:rsidRPr="0011015D">
        <w:t>It is</w:t>
      </w:r>
      <w:r w:rsidRPr="0011015D">
        <w:t xml:space="preserve"> usually appropriate for warranties to be repeated on subsequent drawdowns</w:t>
      </w:r>
      <w:r w:rsidRPr="0011015D">
        <w:t xml:space="preserve">, </w:t>
      </w:r>
      <w:r w:rsidRPr="00465916">
        <w:t xml:space="preserve">but this is a matter </w:t>
      </w:r>
      <w:r w:rsidRPr="0011015D">
        <w:t xml:space="preserve">for </w:t>
      </w:r>
      <w:r w:rsidRPr="00465916">
        <w:t>commercial negotiation</w:t>
      </w:r>
      <w:r w:rsidRPr="00465916">
        <w:t>.</w:t>
      </w:r>
      <w:r w:rsidRPr="0011015D">
        <w:t xml:space="preserve">  Caps and limitations </w:t>
      </w:r>
      <w:r w:rsidRPr="00465916">
        <w:t>may</w:t>
      </w:r>
      <w:r w:rsidRPr="0011015D">
        <w:t xml:space="preserve"> be negotiated although </w:t>
      </w:r>
      <w:r w:rsidRPr="00465916">
        <w:t xml:space="preserve">the </w:t>
      </w:r>
      <w:r w:rsidRPr="00465916">
        <w:t>aim</w:t>
      </w:r>
      <w:r w:rsidRPr="0011015D">
        <w:t xml:space="preserve"> </w:t>
      </w:r>
      <w:r w:rsidRPr="0011015D">
        <w:t xml:space="preserve">is </w:t>
      </w:r>
      <w:r w:rsidRPr="00465916">
        <w:t>to ensure an incentive</w:t>
      </w:r>
      <w:r w:rsidRPr="0011015D">
        <w:t xml:space="preserve"> </w:t>
      </w:r>
      <w:r w:rsidRPr="0011015D">
        <w:t xml:space="preserve">for </w:t>
      </w:r>
      <w:r w:rsidRPr="00465916">
        <w:t>the giver of the warran</w:t>
      </w:r>
      <w:r w:rsidRPr="00465916">
        <w:t>ties to disclose -</w:t>
      </w:r>
      <w:r w:rsidRPr="0011015D">
        <w:t xml:space="preserve"> </w:t>
      </w:r>
      <w:r w:rsidRPr="0011015D">
        <w:t>legal redress</w:t>
      </w:r>
      <w:r w:rsidRPr="00465916">
        <w:t xml:space="preserve"> is typically less important on minority investing</w:t>
      </w:r>
      <w:r w:rsidRPr="0011015D">
        <w:t>.</w:t>
      </w:r>
      <w:r w:rsidRPr="0011015D">
        <w:t xml:space="preserve">  </w:t>
      </w:r>
    </w:p>
    <w:p w14:paraId="3FB01C24" w14:textId="77777777" w:rsidR="00C87093" w:rsidRPr="0011015D" w:rsidRDefault="000748BF" w:rsidP="002F0BF4">
      <w:pPr>
        <w:pStyle w:val="draftingnote"/>
        <w:tabs>
          <w:tab w:val="left" w:pos="709"/>
        </w:tabs>
        <w:ind w:left="709" w:hanging="709"/>
      </w:pPr>
      <w:r w:rsidRPr="0011015D">
        <w:t xml:space="preserve"> (i</w:t>
      </w:r>
      <w:r>
        <w:t>i</w:t>
      </w:r>
      <w:r w:rsidRPr="0011015D">
        <w:t>)</w:t>
      </w:r>
      <w:r w:rsidRPr="0011015D">
        <w:tab/>
        <w:t xml:space="preserve">Discuss with </w:t>
      </w:r>
      <w:r w:rsidRPr="00465916">
        <w:t xml:space="preserve">your </w:t>
      </w:r>
      <w:r w:rsidRPr="00465916">
        <w:t>ESG</w:t>
      </w:r>
      <w:r w:rsidRPr="0011015D">
        <w:t xml:space="preserve"> team following DD whether </w:t>
      </w:r>
      <w:r w:rsidRPr="00465916">
        <w:t>the Investors require</w:t>
      </w:r>
      <w:r w:rsidRPr="0011015D">
        <w:t xml:space="preserve"> warranties on compliance with all ESG requirements or simply compliance with law and the ILO working conditions requirements.  This version assumes the latter as generally we do not expect businesses to comply with </w:t>
      </w:r>
      <w:r w:rsidRPr="00465916">
        <w:t>these standards</w:t>
      </w:r>
      <w:r w:rsidRPr="0011015D">
        <w:t xml:space="preserve"> prior to investment.  Bu</w:t>
      </w:r>
      <w:r w:rsidRPr="0011015D">
        <w:t xml:space="preserve">t for follow-on investments or investments in businesses where </w:t>
      </w:r>
      <w:r w:rsidRPr="00465916">
        <w:t>the investors</w:t>
      </w:r>
      <w:r w:rsidRPr="0011015D">
        <w:t xml:space="preserve"> </w:t>
      </w:r>
      <w:r w:rsidRPr="0011015D">
        <w:t xml:space="preserve">or other DFIs </w:t>
      </w:r>
      <w:r w:rsidRPr="0011015D">
        <w:lastRenderedPageBreak/>
        <w:t xml:space="preserve">already have a stake we may expect full compliance with the ESG Requirements prior to investment.  </w:t>
      </w:r>
    </w:p>
    <w:p w14:paraId="3FB01C25" w14:textId="77777777" w:rsidR="00C87093" w:rsidRPr="0011015D" w:rsidRDefault="000748BF" w:rsidP="002F0BF4">
      <w:pPr>
        <w:pStyle w:val="draftingnote"/>
        <w:tabs>
          <w:tab w:val="left" w:pos="709"/>
        </w:tabs>
        <w:ind w:left="709" w:hanging="709"/>
      </w:pPr>
      <w:r w:rsidRPr="0011015D">
        <w:t>(ii</w:t>
      </w:r>
      <w:r>
        <w:t>i</w:t>
      </w:r>
      <w:r w:rsidRPr="0011015D">
        <w:t>)</w:t>
      </w:r>
      <w:r w:rsidRPr="0011015D">
        <w:tab/>
      </w:r>
      <w:r w:rsidRPr="00465916">
        <w:t>The</w:t>
      </w:r>
      <w:r w:rsidRPr="0011015D">
        <w:t xml:space="preserve"> disclosure letter </w:t>
      </w:r>
      <w:r w:rsidRPr="00465916">
        <w:t>should</w:t>
      </w:r>
      <w:r w:rsidRPr="0011015D">
        <w:t xml:space="preserve"> cross refer to relevant breach</w:t>
      </w:r>
      <w:r w:rsidRPr="0011015D">
        <w:t xml:space="preserve">es identified in the ESG Action Plan - either specifically or generally.  </w:t>
      </w:r>
    </w:p>
    <w:p w14:paraId="3FB01C26" w14:textId="77777777" w:rsidR="00C87093" w:rsidRPr="0011015D" w:rsidRDefault="000748BF" w:rsidP="002F0BF4">
      <w:pPr>
        <w:pStyle w:val="draftingnote"/>
        <w:tabs>
          <w:tab w:val="left" w:pos="709"/>
        </w:tabs>
        <w:ind w:left="709" w:hanging="709"/>
      </w:pPr>
      <w:r>
        <w:t>(iv</w:t>
      </w:r>
      <w:r w:rsidRPr="0011015D">
        <w:t>)</w:t>
      </w:r>
      <w:r w:rsidRPr="0011015D">
        <w:tab/>
      </w:r>
      <w:r w:rsidRPr="00465916">
        <w:t>The Investors</w:t>
      </w:r>
      <w:r w:rsidRPr="0011015D">
        <w:t xml:space="preserve"> may accept in negotiations that </w:t>
      </w:r>
      <w:r w:rsidRPr="00465916">
        <w:t xml:space="preserve">the </w:t>
      </w:r>
      <w:r w:rsidRPr="0011015D">
        <w:t>warranty</w:t>
      </w:r>
      <w:r w:rsidRPr="0011015D">
        <w:t xml:space="preserve"> </w:t>
      </w:r>
      <w:r w:rsidRPr="0011015D">
        <w:t xml:space="preserve">is limited to compliance </w:t>
      </w:r>
      <w:r w:rsidRPr="0011015D">
        <w:rPr>
          <w:color w:val="auto"/>
          <w:sz w:val="22"/>
          <w:szCs w:val="22"/>
        </w:rPr>
        <w:t>[in all material respects]</w:t>
      </w:r>
      <w:r w:rsidRPr="0011015D">
        <w:rPr>
          <w:rFonts w:cs="Arial"/>
          <w:szCs w:val="22"/>
        </w:rPr>
        <w:t xml:space="preserve"> </w:t>
      </w:r>
      <w:r w:rsidRPr="0011015D">
        <w:t xml:space="preserve">but a ‘reasonable efforts’ or ‘best efforts’ basis for this warranty is generally not acceptable as it does not necessarily cover material issues, merely the efforts made by the giver. </w:t>
      </w:r>
    </w:p>
    <w:p w14:paraId="3FB01C27" w14:textId="77777777" w:rsidR="006B7DB0" w:rsidRPr="0011015D" w:rsidRDefault="000748BF" w:rsidP="00524BD5">
      <w:pPr>
        <w:pStyle w:val="ScheduleText1"/>
      </w:pPr>
      <w:r w:rsidRPr="0011015D">
        <w:t>ESG compliance and claims</w:t>
      </w:r>
    </w:p>
    <w:p w14:paraId="3FB01C28" w14:textId="77777777" w:rsidR="00FC607D" w:rsidRPr="0011015D" w:rsidRDefault="000748BF" w:rsidP="002F0BF4">
      <w:pPr>
        <w:pStyle w:val="ScheduleText2"/>
      </w:pPr>
      <w:r w:rsidRPr="0011015D">
        <w:t>Each Group Company complies with all applica</w:t>
      </w:r>
      <w:r w:rsidRPr="0011015D">
        <w:t xml:space="preserve">ble </w:t>
      </w:r>
      <w:r w:rsidRPr="0011015D">
        <w:t xml:space="preserve">ESG </w:t>
      </w:r>
      <w:r w:rsidRPr="0011015D">
        <w:t xml:space="preserve">Laws and </w:t>
      </w:r>
      <w:r w:rsidRPr="0011015D">
        <w:t xml:space="preserve">with </w:t>
      </w:r>
      <w:r w:rsidRPr="0011015D">
        <w:t>the requirements</w:t>
      </w:r>
      <w:r w:rsidRPr="0011015D">
        <w:t xml:space="preserve"> set out in paragraph 2 of Part A of Schedule [X] </w:t>
      </w:r>
      <w:r w:rsidRPr="0011015D">
        <w:t>(Working conditions and labour rights)</w:t>
      </w:r>
      <w:r w:rsidRPr="0011015D">
        <w:t xml:space="preserve">. </w:t>
      </w:r>
    </w:p>
    <w:p w14:paraId="3FB01C29" w14:textId="77777777" w:rsidR="00C87093" w:rsidRPr="0011015D" w:rsidRDefault="000748BF" w:rsidP="0011015D">
      <w:pPr>
        <w:pStyle w:val="draftingnote"/>
        <w:rPr>
          <w:rFonts w:cs="Arial"/>
          <w:szCs w:val="22"/>
        </w:rPr>
      </w:pPr>
      <w:r w:rsidRPr="00465916">
        <w:t>The</w:t>
      </w:r>
      <w:r w:rsidRPr="0011015D">
        <w:t xml:space="preserve"> content of </w:t>
      </w:r>
      <w:r>
        <w:fldChar w:fldCharType="begin"/>
      </w:r>
      <w:r>
        <w:instrText xml:space="preserve"> REF _Ref451856265 \r \h </w:instrText>
      </w:r>
      <w:r>
        <w:fldChar w:fldCharType="separate"/>
      </w:r>
      <w:r>
        <w:t>2.2</w:t>
      </w:r>
      <w:r>
        <w:fldChar w:fldCharType="end"/>
      </w:r>
      <w:r w:rsidRPr="0011015D">
        <w:t xml:space="preserve"> is covered unde</w:t>
      </w:r>
      <w:r w:rsidRPr="0011015D">
        <w:t>r more a general ‘no litigation/no claims’ warranty</w:t>
      </w:r>
      <w:r w:rsidRPr="00465916">
        <w:t>, in which case duplication would not be necessary</w:t>
      </w:r>
    </w:p>
    <w:p w14:paraId="3FB01C2A" w14:textId="77777777" w:rsidR="00111B7C" w:rsidRPr="0011015D" w:rsidRDefault="000748BF" w:rsidP="002F0BF4">
      <w:pPr>
        <w:pStyle w:val="ScheduleText2"/>
      </w:pPr>
      <w:bookmarkStart w:id="17" w:name="_Ref451856125"/>
      <w:bookmarkStart w:id="18" w:name="_Ref451856265"/>
      <w:r w:rsidRPr="0011015D">
        <w:t>No ESG Claim has been commenced or (to the best of its knowledge and belief) is threatened against any Group Company.</w:t>
      </w:r>
      <w:bookmarkEnd w:id="17"/>
      <w:bookmarkEnd w:id="18"/>
    </w:p>
    <w:p w14:paraId="3FB01C2B" w14:textId="77777777" w:rsidR="00111B7C" w:rsidRPr="0011015D" w:rsidRDefault="000748BF" w:rsidP="002F0BF4">
      <w:pPr>
        <w:pStyle w:val="ScheduleText2"/>
      </w:pPr>
      <w:r w:rsidRPr="0011015D">
        <w:t>No written notice or other allegatio</w:t>
      </w:r>
      <w:r w:rsidRPr="0011015D">
        <w:t>n has been received by, or brought to the attention of, any Group Company to the effect that a Group Company has breached any ESG Laws.</w:t>
      </w:r>
    </w:p>
    <w:p w14:paraId="3FB01C2C" w14:textId="77777777" w:rsidR="00FC607D" w:rsidRPr="0011015D" w:rsidRDefault="000748BF" w:rsidP="0011015D">
      <w:pPr>
        <w:pStyle w:val="draftingnote"/>
      </w:pPr>
      <w:r w:rsidRPr="00465916">
        <w:t>[</w:t>
      </w:r>
      <w:r w:rsidRPr="0011015D">
        <w:t>Financial institutions only</w:t>
      </w:r>
      <w:r w:rsidRPr="0011015D">
        <w:t xml:space="preserve"> - ‘knowledge’ or ‘awareness’ may be defined</w:t>
      </w:r>
      <w:r w:rsidRPr="0011015D">
        <w:t xml:space="preserve">.  ESG Requirements may be appropriate if the </w:t>
      </w:r>
      <w:r>
        <w:t>fi</w:t>
      </w:r>
      <w:r>
        <w:t xml:space="preserve">nancial institution </w:t>
      </w:r>
      <w:r w:rsidRPr="0011015D">
        <w:t>already has DFI investment</w:t>
      </w:r>
    </w:p>
    <w:p w14:paraId="3FB01C2D" w14:textId="77777777" w:rsidR="00FC607D" w:rsidRPr="002F0BF4" w:rsidRDefault="000748BF" w:rsidP="002F0BF4">
      <w:pPr>
        <w:pStyle w:val="ScheduleText2"/>
        <w:rPr>
          <w:i/>
        </w:rPr>
      </w:pPr>
      <w:r>
        <w:rPr>
          <w:i/>
        </w:rPr>
        <w:t>[</w:t>
      </w:r>
      <w:r w:rsidRPr="002F0BF4">
        <w:rPr>
          <w:i/>
        </w:rPr>
        <w:t>To the best of the Company’s knowledge, e</w:t>
      </w:r>
      <w:r w:rsidRPr="002F0BF4">
        <w:rPr>
          <w:i/>
        </w:rPr>
        <w:t>ach Client complies</w:t>
      </w:r>
      <w:r w:rsidRPr="002F0BF4">
        <w:rPr>
          <w:i/>
        </w:rPr>
        <w:t xml:space="preserve"> </w:t>
      </w:r>
      <w:r w:rsidRPr="002F0BF4">
        <w:rPr>
          <w:i/>
        </w:rPr>
        <w:t xml:space="preserve">with all applicable </w:t>
      </w:r>
      <w:r w:rsidRPr="002F0BF4">
        <w:rPr>
          <w:i/>
        </w:rPr>
        <w:t>ESG</w:t>
      </w:r>
      <w:r w:rsidRPr="002F0BF4">
        <w:rPr>
          <w:i/>
        </w:rPr>
        <w:t xml:space="preserve"> Laws and with the requirements set out in paragraph 2 of Part A of Schedule [X] (Working conditions and labour rights)</w:t>
      </w:r>
      <w:r w:rsidRPr="002F0BF4">
        <w:rPr>
          <w:i/>
        </w:rPr>
        <w:t xml:space="preserve"> [</w:t>
      </w:r>
      <w:r>
        <w:rPr>
          <w:i/>
        </w:rPr>
        <w:t xml:space="preserve">and each High Risk Client also complies with all other </w:t>
      </w:r>
      <w:r w:rsidRPr="002F0BF4">
        <w:rPr>
          <w:i/>
        </w:rPr>
        <w:t>ESG Requirements].</w:t>
      </w:r>
      <w:r>
        <w:rPr>
          <w:i/>
        </w:rPr>
        <w:t>]</w:t>
      </w:r>
    </w:p>
    <w:p w14:paraId="3FB01C2E" w14:textId="77777777" w:rsidR="00FC607D" w:rsidRPr="0011015D" w:rsidRDefault="000748BF" w:rsidP="00524BD5">
      <w:pPr>
        <w:pStyle w:val="ScheduleText1"/>
      </w:pPr>
      <w:r w:rsidRPr="0011015D">
        <w:t>Corruption</w:t>
      </w:r>
      <w:r w:rsidRPr="0011015D">
        <w:t xml:space="preserve"> and illegal payments</w:t>
      </w:r>
    </w:p>
    <w:p w14:paraId="3FB01C2F" w14:textId="77777777" w:rsidR="00125B7E" w:rsidRPr="0011015D" w:rsidRDefault="000748BF" w:rsidP="002F0BF4">
      <w:pPr>
        <w:pStyle w:val="ScheduleText2"/>
      </w:pPr>
      <w:r w:rsidRPr="0011015D">
        <w:t>No Group Company has committed any Financial Malpractice.</w:t>
      </w:r>
    </w:p>
    <w:p w14:paraId="3FB01C30" w14:textId="77777777" w:rsidR="00FC607D" w:rsidRPr="0011015D" w:rsidRDefault="000748BF" w:rsidP="002F0BF4">
      <w:pPr>
        <w:pStyle w:val="ScheduleText2"/>
      </w:pPr>
      <w:r w:rsidRPr="0011015D">
        <w:t>No Group Company has directed or knowingly permitted any person to commit any Financial Mal</w:t>
      </w:r>
      <w:r w:rsidRPr="0011015D">
        <w:t>practice on its behalf.</w:t>
      </w:r>
    </w:p>
    <w:p w14:paraId="3FB01C31" w14:textId="77777777" w:rsidR="00FC607D" w:rsidRPr="0011015D" w:rsidRDefault="000748BF" w:rsidP="002F0BF4">
      <w:pPr>
        <w:pStyle w:val="ScheduleText2"/>
      </w:pPr>
      <w:r w:rsidRPr="0011015D">
        <w:t xml:space="preserve">The Group has in place procedures designed to prevent Group Companies and those acting on their behalf from committing any </w:t>
      </w:r>
      <w:r w:rsidRPr="0011015D">
        <w:t>Financial Malpractice</w:t>
      </w:r>
      <w:r w:rsidRPr="0011015D">
        <w:t>.</w:t>
      </w:r>
    </w:p>
    <w:p w14:paraId="3FB01C32" w14:textId="77777777" w:rsidR="000003EB" w:rsidRPr="0011015D" w:rsidRDefault="000748BF" w:rsidP="002F0BF4">
      <w:pPr>
        <w:pStyle w:val="ScheduleText2"/>
      </w:pPr>
      <w:r w:rsidRPr="0011015D">
        <w:t>No proceeds of any illegal act or act related to drug trafficking, corruption, bribery</w:t>
      </w:r>
      <w:r w:rsidRPr="0011015D">
        <w:t xml:space="preserve">, organised crime or terrorism have been received by any Group Company, directly or indirectly (including </w:t>
      </w:r>
      <w:r w:rsidRPr="0011015D">
        <w:t xml:space="preserve">for </w:t>
      </w:r>
      <w:r w:rsidRPr="0011015D">
        <w:t>the purchase of shares in any Group Company) or as a contribution to or otherwise to support the activities or business of any Group Company or th</w:t>
      </w:r>
      <w:r w:rsidRPr="0011015D">
        <w:t>e Group as a whole.</w:t>
      </w:r>
    </w:p>
    <w:p w14:paraId="3FB01C33" w14:textId="77777777" w:rsidR="00FC607D" w:rsidRPr="0011015D" w:rsidRDefault="000748BF" w:rsidP="0011015D">
      <w:pPr>
        <w:pStyle w:val="draftingnote"/>
      </w:pPr>
      <w:r w:rsidRPr="0011015D">
        <w:t>Financial institutions only</w:t>
      </w:r>
    </w:p>
    <w:p w14:paraId="3FB01C34" w14:textId="77777777" w:rsidR="00FC607D" w:rsidRPr="0011015D" w:rsidRDefault="000748BF" w:rsidP="002F0BF4">
      <w:pPr>
        <w:pStyle w:val="ScheduleText2"/>
      </w:pPr>
      <w:bookmarkStart w:id="19" w:name="_Ref451858224"/>
      <w:r>
        <w:rPr>
          <w:i/>
        </w:rPr>
        <w:t>[</w:t>
      </w:r>
      <w:r w:rsidRPr="002F0BF4">
        <w:rPr>
          <w:i/>
        </w:rPr>
        <w:t xml:space="preserve">To the best of the Company’s knowledge, [after due inquiry,] no Client has committed any </w:t>
      </w:r>
      <w:r w:rsidRPr="002F0BF4">
        <w:rPr>
          <w:i/>
        </w:rPr>
        <w:t>Financial Malpractice</w:t>
      </w:r>
      <w:r w:rsidRPr="002F0BF4">
        <w:rPr>
          <w:i/>
        </w:rPr>
        <w:t xml:space="preserve"> nor has any Client directed or knowingly permitted any person to commit any </w:t>
      </w:r>
      <w:r w:rsidRPr="002F0BF4">
        <w:rPr>
          <w:i/>
        </w:rPr>
        <w:t>Financial Malpractic</w:t>
      </w:r>
      <w:r w:rsidRPr="002F0BF4">
        <w:rPr>
          <w:i/>
        </w:rPr>
        <w:t>e</w:t>
      </w:r>
      <w:r w:rsidRPr="002F0BF4">
        <w:rPr>
          <w:i/>
        </w:rPr>
        <w:t xml:space="preserve"> on its behalf</w:t>
      </w:r>
      <w:r w:rsidRPr="0011015D">
        <w:t xml:space="preserve">. </w:t>
      </w:r>
      <w:r>
        <w:t>]</w:t>
      </w:r>
      <w:bookmarkEnd w:id="19"/>
    </w:p>
    <w:p w14:paraId="3FB01C35" w14:textId="77777777" w:rsidR="00FC607D" w:rsidRPr="0011015D" w:rsidRDefault="000748BF" w:rsidP="00524BD5">
      <w:pPr>
        <w:pStyle w:val="ScheduleText1"/>
      </w:pPr>
      <w:r w:rsidRPr="0011015D">
        <w:lastRenderedPageBreak/>
        <w:t>Exclusion List</w:t>
      </w:r>
    </w:p>
    <w:p w14:paraId="3FB01C36" w14:textId="77777777" w:rsidR="00714083" w:rsidRDefault="000748BF" w:rsidP="00714083">
      <w:pPr>
        <w:pStyle w:val="draftingnote"/>
      </w:pPr>
      <w:r w:rsidRPr="00016711">
        <w:t>Use</w:t>
      </w:r>
      <w:r>
        <w:t xml:space="preserve"> italicised words in square brackets on financial institutions deals</w:t>
      </w:r>
    </w:p>
    <w:p w14:paraId="3FB01C37" w14:textId="77777777" w:rsidR="00FC607D" w:rsidRPr="0011015D" w:rsidRDefault="000748BF" w:rsidP="002F0BF4">
      <w:pPr>
        <w:pStyle w:val="Clausetext2"/>
      </w:pPr>
      <w:r w:rsidRPr="0011015D">
        <w:t xml:space="preserve">No Group Company[ </w:t>
      </w:r>
      <w:r w:rsidRPr="0011015D">
        <w:rPr>
          <w:i/>
        </w:rPr>
        <w:t>nor any Client</w:t>
      </w:r>
      <w:r w:rsidRPr="0011015D">
        <w:t xml:space="preserve">] is </w:t>
      </w:r>
      <w:r w:rsidRPr="0011015D">
        <w:t xml:space="preserve">carrying on or </w:t>
      </w:r>
      <w:r w:rsidRPr="0011015D">
        <w:t xml:space="preserve">financing any </w:t>
      </w:r>
      <w:r w:rsidRPr="0011015D">
        <w:t>activity on the Exclusion List</w:t>
      </w:r>
      <w:r w:rsidRPr="0011015D">
        <w:t xml:space="preserve">. </w:t>
      </w:r>
    </w:p>
    <w:p w14:paraId="3FB01C38" w14:textId="77777777" w:rsidR="00FC607D" w:rsidRPr="0011015D" w:rsidRDefault="000748BF" w:rsidP="00051DC3">
      <w:pPr>
        <w:pStyle w:val="Heading2"/>
        <w:rPr>
          <w:rFonts w:ascii="Georgia" w:hAnsi="Georgia"/>
        </w:rPr>
      </w:pPr>
      <w:bookmarkStart w:id="20" w:name="_Toc368064310"/>
      <w:bookmarkStart w:id="21" w:name="_Toc456289232"/>
      <w:bookmarkStart w:id="22" w:name="_Toc451759967"/>
      <w:bookmarkStart w:id="23" w:name="_Toc462908778"/>
      <w:r w:rsidRPr="0011015D">
        <w:rPr>
          <w:rFonts w:ascii="Georgia" w:hAnsi="Georgia"/>
        </w:rPr>
        <w:t xml:space="preserve">ESG </w:t>
      </w:r>
      <w:r w:rsidRPr="0011015D">
        <w:rPr>
          <w:rFonts w:ascii="Georgia" w:hAnsi="Georgia"/>
        </w:rPr>
        <w:t>i</w:t>
      </w:r>
      <w:r w:rsidRPr="0011015D">
        <w:rPr>
          <w:rFonts w:ascii="Georgia" w:hAnsi="Georgia"/>
        </w:rPr>
        <w:t xml:space="preserve">nformation </w:t>
      </w:r>
      <w:r w:rsidRPr="0011015D">
        <w:rPr>
          <w:rFonts w:ascii="Georgia" w:hAnsi="Georgia"/>
        </w:rPr>
        <w:t>r</w:t>
      </w:r>
      <w:r w:rsidRPr="0011015D">
        <w:rPr>
          <w:rFonts w:ascii="Georgia" w:hAnsi="Georgia"/>
        </w:rPr>
        <w:t>ights</w:t>
      </w:r>
      <w:bookmarkEnd w:id="20"/>
      <w:bookmarkEnd w:id="21"/>
      <w:bookmarkEnd w:id="22"/>
      <w:bookmarkEnd w:id="23"/>
    </w:p>
    <w:p w14:paraId="3FB01C39" w14:textId="77777777" w:rsidR="00FC607D" w:rsidRPr="0011015D" w:rsidRDefault="000748BF" w:rsidP="00524BD5">
      <w:pPr>
        <w:pStyle w:val="ScheduleText1"/>
      </w:pPr>
      <w:r w:rsidRPr="0011015D">
        <w:t>Content of annual report</w:t>
      </w:r>
    </w:p>
    <w:p w14:paraId="3FB01C3A" w14:textId="77777777" w:rsidR="00FC607D" w:rsidRPr="0011015D" w:rsidRDefault="000748BF" w:rsidP="0011015D">
      <w:pPr>
        <w:pStyle w:val="draftingnote"/>
      </w:pPr>
      <w:r w:rsidRPr="0011015D">
        <w:t>Add</w:t>
      </w:r>
      <w:r w:rsidRPr="0011015D">
        <w:t xml:space="preserve"> this wording to the customary requirement to deliver annual reports to the Investors</w:t>
      </w:r>
    </w:p>
    <w:p w14:paraId="3FB01C3B" w14:textId="77777777" w:rsidR="00FC607D" w:rsidRPr="0011015D" w:rsidRDefault="000748BF" w:rsidP="002F0BF4">
      <w:pPr>
        <w:pStyle w:val="ScheduleText2"/>
      </w:pPr>
      <w:r w:rsidRPr="0011015D">
        <w:t>The Company’s annual audited accounts must include:</w:t>
      </w:r>
    </w:p>
    <w:p w14:paraId="3FB01C3C" w14:textId="77777777" w:rsidR="00FC607D" w:rsidRPr="0011015D" w:rsidRDefault="000748BF" w:rsidP="002F0BF4">
      <w:pPr>
        <w:pStyle w:val="ScheduleText3"/>
        <w:rPr>
          <w:rFonts w:eastAsia="SimSun"/>
          <w:lang w:eastAsia="zh-CN" w:bidi="ar-AE"/>
        </w:rPr>
      </w:pPr>
      <w:r w:rsidRPr="0011015D">
        <w:rPr>
          <w:rFonts w:eastAsia="SimSun"/>
          <w:lang w:eastAsia="zh-CN" w:bidi="ar-AE"/>
        </w:rPr>
        <w:t xml:space="preserve">an analysis of the principal risks that the directors believe the Group faces and the steps taken to mitigate those risks </w:t>
      </w:r>
    </w:p>
    <w:p w14:paraId="3FB01C3D" w14:textId="77777777" w:rsidR="00FC607D" w:rsidRPr="0011015D" w:rsidRDefault="000748BF" w:rsidP="002F0BF4">
      <w:pPr>
        <w:pStyle w:val="ScheduleText3"/>
        <w:rPr>
          <w:rFonts w:eastAsia="SimSun"/>
          <w:lang w:eastAsia="zh-CN" w:bidi="ar-AE"/>
        </w:rPr>
      </w:pPr>
      <w:r w:rsidRPr="0011015D">
        <w:rPr>
          <w:rFonts w:eastAsia="SimSun"/>
          <w:lang w:eastAsia="zh-CN" w:bidi="ar-AE"/>
        </w:rPr>
        <w:t>a review of:</w:t>
      </w:r>
    </w:p>
    <w:p w14:paraId="3FB01C3E" w14:textId="77777777" w:rsidR="00FC607D" w:rsidRPr="0011015D" w:rsidRDefault="000748BF" w:rsidP="002F0BF4">
      <w:pPr>
        <w:pStyle w:val="ScheduleText4"/>
      </w:pPr>
      <w:r w:rsidRPr="0011015D">
        <w:t xml:space="preserve">the bribery and financial crime risks faced by the Group, </w:t>
      </w:r>
    </w:p>
    <w:p w14:paraId="3FB01C3F" w14:textId="77777777" w:rsidR="00FC607D" w:rsidRPr="0011015D" w:rsidRDefault="000748BF" w:rsidP="002F0BF4">
      <w:pPr>
        <w:pStyle w:val="ScheduleText4"/>
      </w:pPr>
      <w:r w:rsidRPr="0011015D">
        <w:t>the systems, policies and procedures for managing such risks,</w:t>
      </w:r>
      <w:r w:rsidRPr="0011015D">
        <w:t xml:space="preserve"> and</w:t>
      </w:r>
    </w:p>
    <w:p w14:paraId="3FB01C40" w14:textId="77777777" w:rsidR="00FC607D" w:rsidRPr="0011015D" w:rsidRDefault="000748BF" w:rsidP="002F0BF4">
      <w:pPr>
        <w:pStyle w:val="ScheduleText4"/>
      </w:pPr>
      <w:r w:rsidRPr="0011015D">
        <w:t xml:space="preserve">the implementation and effectiveness of those </w:t>
      </w:r>
      <w:r w:rsidRPr="0011015D">
        <w:t xml:space="preserve">systems, </w:t>
      </w:r>
      <w:r w:rsidRPr="0011015D">
        <w:t>policies and procedures</w:t>
      </w:r>
    </w:p>
    <w:p w14:paraId="3FB01C41" w14:textId="77777777" w:rsidR="00FC607D" w:rsidRPr="0011015D" w:rsidRDefault="000748BF" w:rsidP="002F0BF4">
      <w:pPr>
        <w:pStyle w:val="ScheduleText2"/>
      </w:pPr>
      <w:r w:rsidRPr="0011015D">
        <w:t>The Company must promptly send the Investors a copy of any management letter addressed to a Group Company by its external auditors.</w:t>
      </w:r>
    </w:p>
    <w:p w14:paraId="3FB01C42" w14:textId="77777777" w:rsidR="00FC607D" w:rsidRPr="0011015D" w:rsidRDefault="000748BF" w:rsidP="00524BD5">
      <w:pPr>
        <w:pStyle w:val="ScheduleText1"/>
      </w:pPr>
      <w:r w:rsidRPr="0011015D">
        <w:t xml:space="preserve">ESG </w:t>
      </w:r>
      <w:r w:rsidRPr="0011015D">
        <w:t xml:space="preserve">and development impact </w:t>
      </w:r>
      <w:r w:rsidRPr="0011015D">
        <w:t xml:space="preserve">reporting </w:t>
      </w:r>
    </w:p>
    <w:p w14:paraId="3FB01C43" w14:textId="77777777" w:rsidR="00AC3216" w:rsidRPr="0011015D" w:rsidRDefault="000748BF" w:rsidP="0011015D">
      <w:pPr>
        <w:pStyle w:val="draftingnote"/>
      </w:pPr>
      <w:r w:rsidRPr="0011015D">
        <w:t>Fi</w:t>
      </w:r>
      <w:r w:rsidRPr="0011015D">
        <w:t>nancial Year or Financial Period may be a defined expression</w:t>
      </w:r>
    </w:p>
    <w:p w14:paraId="3FB01C44" w14:textId="77777777" w:rsidR="00FC607D" w:rsidRPr="0011015D" w:rsidRDefault="000748BF" w:rsidP="002F0BF4">
      <w:pPr>
        <w:pStyle w:val="ScheduleText2"/>
      </w:pPr>
      <w:bookmarkStart w:id="24" w:name="_Ref451856470"/>
      <w:bookmarkStart w:id="25" w:name="_Ref451856590"/>
      <w:r w:rsidRPr="0011015D">
        <w:t xml:space="preserve">The Company must, as soon as it is available, but in any event no later than [90] days after </w:t>
      </w:r>
      <w:r w:rsidRPr="0011015D">
        <w:t xml:space="preserve">the end of </w:t>
      </w:r>
      <w:r w:rsidRPr="0011015D">
        <w:t xml:space="preserve">each </w:t>
      </w:r>
      <w:r w:rsidRPr="0011015D">
        <w:t>[</w:t>
      </w:r>
      <w:r w:rsidRPr="0011015D">
        <w:t>financial year</w:t>
      </w:r>
      <w:r w:rsidRPr="0011015D">
        <w:t>]</w:t>
      </w:r>
      <w:r w:rsidRPr="0011015D">
        <w:t xml:space="preserve">, deliver to the Investors </w:t>
      </w:r>
      <w:r w:rsidRPr="0011015D">
        <w:t xml:space="preserve">a </w:t>
      </w:r>
      <w:r w:rsidRPr="0011015D">
        <w:rPr>
          <w:lang w:eastAsia="zh-CN"/>
        </w:rPr>
        <w:t>monitoring report in the Agreed Form</w:t>
      </w:r>
      <w:r w:rsidRPr="0011015D">
        <w:rPr>
          <w:lang w:eastAsia="zh-CN"/>
        </w:rPr>
        <w:t xml:space="preserve"> whic</w:t>
      </w:r>
      <w:r w:rsidRPr="0011015D">
        <w:rPr>
          <w:lang w:eastAsia="zh-CN"/>
        </w:rPr>
        <w:t>h addresses environmental, social, business integrity and development impact matters</w:t>
      </w:r>
      <w:r w:rsidRPr="0011015D">
        <w:rPr>
          <w:lang w:eastAsia="zh-CN"/>
        </w:rPr>
        <w:t>.</w:t>
      </w:r>
      <w:bookmarkEnd w:id="24"/>
      <w:bookmarkEnd w:id="25"/>
      <w:r w:rsidRPr="0011015D">
        <w:rPr>
          <w:lang w:eastAsia="zh-CN"/>
        </w:rPr>
        <w:t xml:space="preserve">  </w:t>
      </w:r>
      <w:r w:rsidRPr="0011015D">
        <w:t xml:space="preserve"> </w:t>
      </w:r>
      <w:r w:rsidRPr="0011015D">
        <w:t xml:space="preserve"> </w:t>
      </w:r>
    </w:p>
    <w:p w14:paraId="3FB01C45" w14:textId="77777777" w:rsidR="003472AB" w:rsidRPr="0011015D" w:rsidRDefault="000748BF" w:rsidP="002F0BF4">
      <w:pPr>
        <w:pStyle w:val="ScheduleText2"/>
      </w:pPr>
      <w:r w:rsidRPr="0011015D">
        <w:t>Without prejudice to clause</w:t>
      </w:r>
      <w:r>
        <w:t xml:space="preserve"> </w:t>
      </w:r>
      <w:r>
        <w:fldChar w:fldCharType="begin"/>
      </w:r>
      <w:r>
        <w:instrText xml:space="preserve"> REF _Ref451856590 \r \h </w:instrText>
      </w:r>
      <w:r>
        <w:fldChar w:fldCharType="separate"/>
      </w:r>
      <w:r>
        <w:t>6.1</w:t>
      </w:r>
      <w:r>
        <w:fldChar w:fldCharType="end"/>
      </w:r>
      <w:r w:rsidRPr="0011015D">
        <w:t xml:space="preserve">, the Company </w:t>
      </w:r>
      <w:r w:rsidRPr="0011015D">
        <w:t xml:space="preserve">must </w:t>
      </w:r>
      <w:r w:rsidRPr="0011015D">
        <w:t>provide the Investors w</w:t>
      </w:r>
      <w:r w:rsidRPr="0011015D">
        <w:t>ith such assistance</w:t>
      </w:r>
      <w:r w:rsidRPr="0011015D">
        <w:t xml:space="preserve">, access and </w:t>
      </w:r>
      <w:r w:rsidRPr="0011015D">
        <w:t xml:space="preserve">information </w:t>
      </w:r>
      <w:r w:rsidRPr="0011015D">
        <w:t xml:space="preserve">as </w:t>
      </w:r>
      <w:r w:rsidRPr="0011015D">
        <w:t xml:space="preserve">the Investors </w:t>
      </w:r>
      <w:r w:rsidRPr="0011015D">
        <w:t xml:space="preserve">reasonably </w:t>
      </w:r>
      <w:r w:rsidRPr="0011015D">
        <w:t xml:space="preserve">require </w:t>
      </w:r>
      <w:proofErr w:type="gramStart"/>
      <w:r w:rsidRPr="0011015D">
        <w:t>in order to</w:t>
      </w:r>
      <w:proofErr w:type="gramEnd"/>
      <w:r w:rsidRPr="0011015D">
        <w:t xml:space="preserve"> monitor and evaluate the development impact of </w:t>
      </w:r>
      <w:r w:rsidRPr="0011015D">
        <w:t>their</w:t>
      </w:r>
      <w:r w:rsidRPr="0011015D">
        <w:t xml:space="preserve"> investment.</w:t>
      </w:r>
    </w:p>
    <w:p w14:paraId="3FB01C46" w14:textId="77777777" w:rsidR="00FC607D" w:rsidRPr="0011015D" w:rsidRDefault="000748BF" w:rsidP="0011015D">
      <w:pPr>
        <w:pStyle w:val="draftingnote"/>
      </w:pPr>
      <w:r w:rsidRPr="0011015D">
        <w:t xml:space="preserve">Not required if these matters are subject to </w:t>
      </w:r>
      <w:r w:rsidRPr="00465916">
        <w:t>Investor</w:t>
      </w:r>
      <w:r w:rsidRPr="0011015D">
        <w:t xml:space="preserve"> </w:t>
      </w:r>
      <w:r w:rsidRPr="0011015D">
        <w:t xml:space="preserve">veto </w:t>
      </w:r>
      <w:r w:rsidRPr="00465916">
        <w:t>right</w:t>
      </w:r>
      <w:r w:rsidRPr="00465916">
        <w:t>/reserved matter</w:t>
      </w:r>
      <w:r w:rsidRPr="00465916">
        <w:t>s</w:t>
      </w:r>
    </w:p>
    <w:p w14:paraId="3FB01C47" w14:textId="77777777" w:rsidR="00FC607D" w:rsidRPr="0011015D" w:rsidRDefault="000748BF" w:rsidP="002F0BF4">
      <w:pPr>
        <w:pStyle w:val="ScheduleText2"/>
        <w:rPr>
          <w:rFonts w:eastAsia="SimSun"/>
        </w:rPr>
      </w:pPr>
      <w:bookmarkStart w:id="26" w:name="_Ref451856456"/>
      <w:r w:rsidRPr="0011015D">
        <w:rPr>
          <w:rFonts w:eastAsia="SimSun"/>
        </w:rPr>
        <w:t xml:space="preserve">The Company must promptly inform </w:t>
      </w:r>
      <w:r w:rsidRPr="0011015D">
        <w:t>the Investors</w:t>
      </w:r>
      <w:r w:rsidRPr="0011015D">
        <w:rPr>
          <w:rFonts w:eastAsia="SimSun"/>
        </w:rPr>
        <w:t xml:space="preserve"> of any proposed change in the Directors, internal or external </w:t>
      </w:r>
      <w:r w:rsidRPr="0011015D">
        <w:t>auditors or the bankers of any Group Company.</w:t>
      </w:r>
      <w:bookmarkEnd w:id="26"/>
    </w:p>
    <w:p w14:paraId="3FB01C48" w14:textId="77777777" w:rsidR="00FC607D" w:rsidRPr="0011015D" w:rsidRDefault="000748BF" w:rsidP="0011015D">
      <w:pPr>
        <w:pStyle w:val="draftingnote"/>
      </w:pPr>
      <w:r w:rsidRPr="0011015D">
        <w:t>Financial institutions only</w:t>
      </w:r>
    </w:p>
    <w:p w14:paraId="3FB01C49" w14:textId="77777777" w:rsidR="00FC607D" w:rsidRPr="002F0BF4" w:rsidRDefault="000748BF" w:rsidP="002F0BF4">
      <w:pPr>
        <w:pStyle w:val="ScheduleText2"/>
        <w:rPr>
          <w:i/>
        </w:rPr>
      </w:pPr>
      <w:r w:rsidRPr="002F0BF4">
        <w:rPr>
          <w:i/>
        </w:rPr>
        <w:t>The Company must deliver to the Investors no later than the date it has t</w:t>
      </w:r>
      <w:r w:rsidRPr="002F0BF4">
        <w:rPr>
          <w:i/>
        </w:rPr>
        <w:t>o deliver its audited [consolidated] financial statements in accordance with sub-Clause 2.1(a) (</w:t>
      </w:r>
      <w:r w:rsidRPr="002F0BF4">
        <w:rPr>
          <w:i/>
          <w:iCs/>
        </w:rPr>
        <w:t>Financial Statements</w:t>
      </w:r>
      <w:r w:rsidRPr="002F0BF4">
        <w:rPr>
          <w:i/>
        </w:rPr>
        <w:t>), a summary of all Clients and confirmation as to whether or not any of them</w:t>
      </w:r>
      <w:r>
        <w:rPr>
          <w:i/>
        </w:rPr>
        <w:t xml:space="preserve"> are</w:t>
      </w:r>
      <w:r>
        <w:rPr>
          <w:i/>
        </w:rPr>
        <w:t xml:space="preserve"> or may be</w:t>
      </w:r>
      <w:r>
        <w:rPr>
          <w:i/>
        </w:rPr>
        <w:t xml:space="preserve"> High Risk Clients</w:t>
      </w:r>
      <w:r w:rsidRPr="002F0BF4">
        <w:rPr>
          <w:i/>
        </w:rPr>
        <w:t xml:space="preserve">. </w:t>
      </w:r>
    </w:p>
    <w:p w14:paraId="3FB01C4A" w14:textId="77777777" w:rsidR="00FC607D" w:rsidRPr="0011015D" w:rsidRDefault="000748BF" w:rsidP="00524BD5">
      <w:pPr>
        <w:pStyle w:val="ScheduleText1"/>
      </w:pPr>
      <w:r w:rsidRPr="0011015D">
        <w:lastRenderedPageBreak/>
        <w:t>Internal audit</w:t>
      </w:r>
    </w:p>
    <w:p w14:paraId="3FB01C4B" w14:textId="77777777" w:rsidR="00FC607D" w:rsidRPr="0011015D" w:rsidRDefault="000748BF" w:rsidP="002F0BF4">
      <w:pPr>
        <w:pStyle w:val="ScheduleText2"/>
        <w:rPr>
          <w:rFonts w:eastAsia="SimSun"/>
          <w:lang w:eastAsia="zh-CN" w:bidi="ar-AE"/>
        </w:rPr>
      </w:pPr>
      <w:r w:rsidRPr="0011015D">
        <w:rPr>
          <w:rFonts w:eastAsia="SimSun"/>
        </w:rPr>
        <w:t xml:space="preserve">The </w:t>
      </w:r>
      <w:r w:rsidRPr="0011015D">
        <w:t>Company</w:t>
      </w:r>
      <w:r w:rsidRPr="0011015D">
        <w:rPr>
          <w:rFonts w:eastAsia="SimSun"/>
        </w:rPr>
        <w:t xml:space="preserve"> m</w:t>
      </w:r>
      <w:r w:rsidRPr="0011015D">
        <w:rPr>
          <w:rFonts w:eastAsia="SimSun"/>
        </w:rPr>
        <w:t xml:space="preserve">ust promptly send </w:t>
      </w:r>
      <w:r w:rsidRPr="0011015D">
        <w:t xml:space="preserve">the Investors </w:t>
      </w:r>
      <w:r w:rsidRPr="0011015D">
        <w:rPr>
          <w:rFonts w:eastAsia="SimSun"/>
          <w:lang w:eastAsia="zh-CN" w:bidi="ar-AE"/>
        </w:rPr>
        <w:t>any internal audit report prepared for the Company which addresses the Group’s compliance with all or any part of the ESG Requirements.</w:t>
      </w:r>
    </w:p>
    <w:p w14:paraId="3FB01C4C" w14:textId="77777777" w:rsidR="00FC607D" w:rsidRPr="0011015D" w:rsidRDefault="000748BF" w:rsidP="002F0BF4">
      <w:pPr>
        <w:pStyle w:val="ScheduleText2"/>
        <w:rPr>
          <w:rFonts w:eastAsia="SimSun"/>
        </w:rPr>
      </w:pPr>
      <w:r w:rsidRPr="0011015D">
        <w:rPr>
          <w:rFonts w:eastAsia="SimSun"/>
        </w:rPr>
        <w:t>The Company must ensure that the work plan of any internal audit firm (or internal audit</w:t>
      </w:r>
      <w:r w:rsidRPr="0011015D">
        <w:rPr>
          <w:rFonts w:eastAsia="SimSun"/>
        </w:rPr>
        <w:t xml:space="preserve"> function within the Group) includes a review of:</w:t>
      </w:r>
    </w:p>
    <w:p w14:paraId="3FB01C4D" w14:textId="77777777" w:rsidR="00FC607D" w:rsidRPr="002F0BF4" w:rsidRDefault="000748BF" w:rsidP="00586D14">
      <w:pPr>
        <w:pStyle w:val="ScheduleText3"/>
        <w:numPr>
          <w:ilvl w:val="2"/>
          <w:numId w:val="33"/>
        </w:numPr>
        <w:rPr>
          <w:rFonts w:eastAsia="SimSun"/>
          <w:lang w:eastAsia="zh-CN" w:bidi="ar-AE"/>
        </w:rPr>
      </w:pPr>
      <w:r w:rsidRPr="002F0BF4">
        <w:rPr>
          <w:rFonts w:eastAsia="SimSun"/>
          <w:lang w:eastAsia="zh-CN" w:bidi="ar-AE"/>
        </w:rPr>
        <w:t xml:space="preserve">the assessment of the bribery and financial crime risks faced by the Group, </w:t>
      </w:r>
    </w:p>
    <w:p w14:paraId="3FB01C4E" w14:textId="77777777" w:rsidR="00FC607D" w:rsidRPr="0011015D" w:rsidRDefault="000748BF" w:rsidP="002F0BF4">
      <w:pPr>
        <w:pStyle w:val="ScheduleText3"/>
        <w:rPr>
          <w:rFonts w:eastAsia="SimSun"/>
          <w:lang w:eastAsia="zh-CN" w:bidi="ar-AE"/>
        </w:rPr>
      </w:pPr>
      <w:r w:rsidRPr="0011015D">
        <w:rPr>
          <w:rFonts w:eastAsia="SimSun"/>
          <w:lang w:eastAsia="zh-CN" w:bidi="ar-AE"/>
        </w:rPr>
        <w:t>the systems, policies and procedures for managing such risks, and</w:t>
      </w:r>
    </w:p>
    <w:p w14:paraId="3FB01C4F" w14:textId="77777777" w:rsidR="00FC607D" w:rsidRPr="0011015D" w:rsidRDefault="000748BF" w:rsidP="002F0BF4">
      <w:pPr>
        <w:pStyle w:val="ScheduleText3"/>
        <w:rPr>
          <w:rFonts w:eastAsia="SimSun"/>
          <w:lang w:eastAsia="zh-CN" w:bidi="ar-AE"/>
        </w:rPr>
      </w:pPr>
      <w:r w:rsidRPr="0011015D">
        <w:rPr>
          <w:rFonts w:eastAsia="SimSun"/>
          <w:lang w:eastAsia="zh-CN" w:bidi="ar-AE"/>
        </w:rPr>
        <w:t>the implementation and effectiveness of those policies and proc</w:t>
      </w:r>
      <w:r w:rsidRPr="0011015D">
        <w:rPr>
          <w:rFonts w:eastAsia="SimSun"/>
          <w:lang w:eastAsia="zh-CN" w:bidi="ar-AE"/>
        </w:rPr>
        <w:t>edures.</w:t>
      </w:r>
    </w:p>
    <w:p w14:paraId="3FB01C50" w14:textId="77777777" w:rsidR="00FC607D" w:rsidRPr="0011015D" w:rsidRDefault="000748BF" w:rsidP="00524BD5">
      <w:pPr>
        <w:pStyle w:val="ScheduleText1"/>
      </w:pPr>
      <w:r w:rsidRPr="0011015D">
        <w:t xml:space="preserve">ESG breaches and claims </w:t>
      </w:r>
    </w:p>
    <w:p w14:paraId="3FB01C51" w14:textId="77777777" w:rsidR="00714083" w:rsidRDefault="000748BF" w:rsidP="00714083">
      <w:pPr>
        <w:pStyle w:val="draftingnote"/>
      </w:pPr>
      <w:r w:rsidRPr="00016711">
        <w:t>Use</w:t>
      </w:r>
      <w:r>
        <w:t xml:space="preserve"> italicised words in square brackets on financial institutions deals</w:t>
      </w:r>
    </w:p>
    <w:p w14:paraId="3FB01C52" w14:textId="77777777" w:rsidR="00FC607D" w:rsidRPr="0011015D" w:rsidRDefault="000748BF" w:rsidP="002F0BF4">
      <w:pPr>
        <w:pStyle w:val="ScheduleText2"/>
      </w:pPr>
      <w:r w:rsidRPr="0011015D">
        <w:t>The Company must inform the Investors in writing immediately upon becoming aware of:</w:t>
      </w:r>
    </w:p>
    <w:p w14:paraId="3FB01C53" w14:textId="77777777" w:rsidR="00FC607D" w:rsidRPr="0011015D" w:rsidRDefault="000748BF" w:rsidP="00586D14">
      <w:pPr>
        <w:pStyle w:val="ScheduleText3"/>
        <w:numPr>
          <w:ilvl w:val="2"/>
          <w:numId w:val="34"/>
        </w:numPr>
      </w:pPr>
      <w:r w:rsidRPr="0011015D">
        <w:t xml:space="preserve">any ESG Claim being commenced or threatened against any Group </w:t>
      </w:r>
      <w:r w:rsidRPr="0011015D">
        <w:t>Company[</w:t>
      </w:r>
      <w:r w:rsidRPr="002F0BF4">
        <w:rPr>
          <w:i/>
        </w:rPr>
        <w:t xml:space="preserve"> or any Client</w:t>
      </w:r>
      <w:r w:rsidRPr="0011015D">
        <w:t>] or any facts or circumstances which will or are reasonably likely to result in such an ESG Claim being commenced];</w:t>
      </w:r>
    </w:p>
    <w:p w14:paraId="3FB01C54" w14:textId="77777777" w:rsidR="00ED16EF" w:rsidRPr="0011015D" w:rsidRDefault="000748BF" w:rsidP="002F0BF4">
      <w:pPr>
        <w:pStyle w:val="ScheduleText3"/>
      </w:pPr>
      <w:r w:rsidRPr="0011015D">
        <w:t xml:space="preserve">any written notice or other allegation received by, or brought to the attention of, any Group Company to the effect that a Group Company has breached any ESG Requirement; </w:t>
      </w:r>
    </w:p>
    <w:p w14:paraId="3FB01C55" w14:textId="77777777" w:rsidR="00FC607D" w:rsidRPr="0011015D" w:rsidRDefault="000748BF" w:rsidP="002F0BF4">
      <w:pPr>
        <w:pStyle w:val="ScheduleText3"/>
      </w:pPr>
      <w:r w:rsidRPr="0011015D">
        <w:t xml:space="preserve">any actions which may constitute a </w:t>
      </w:r>
      <w:r w:rsidRPr="0011015D">
        <w:t>Financial Malpractice</w:t>
      </w:r>
      <w:r w:rsidRPr="0011015D">
        <w:t xml:space="preserve"> committed by or on behalf o</w:t>
      </w:r>
      <w:r w:rsidRPr="0011015D">
        <w:t xml:space="preserve">f any Group Company [ </w:t>
      </w:r>
      <w:r w:rsidRPr="0011015D">
        <w:rPr>
          <w:i/>
        </w:rPr>
        <w:t>or, to the best of its knowledge, by or on behalf of any Client</w:t>
      </w:r>
      <w:r w:rsidRPr="0011015D">
        <w:t>]; and</w:t>
      </w:r>
    </w:p>
    <w:p w14:paraId="3FB01C56" w14:textId="77777777" w:rsidR="00FC607D" w:rsidRPr="0011015D" w:rsidRDefault="000748BF" w:rsidP="002F0BF4">
      <w:pPr>
        <w:pStyle w:val="ScheduleText3"/>
      </w:pPr>
      <w:r w:rsidRPr="0011015D">
        <w:t xml:space="preserve">any enquires from government enforcement authorities concerning any act that may constitute a </w:t>
      </w:r>
      <w:r w:rsidRPr="0011015D">
        <w:t>Financial Malpractice</w:t>
      </w:r>
      <w:r w:rsidRPr="0011015D">
        <w:t xml:space="preserve"> by or on behalf of any Group Company.  </w:t>
      </w:r>
    </w:p>
    <w:p w14:paraId="3FB01C57" w14:textId="77777777" w:rsidR="00FC607D" w:rsidRPr="0011015D" w:rsidRDefault="000748BF" w:rsidP="002F0BF4">
      <w:pPr>
        <w:pStyle w:val="ScheduleText2"/>
      </w:pPr>
      <w:r w:rsidRPr="0011015D">
        <w:t>If any I</w:t>
      </w:r>
      <w:r w:rsidRPr="0011015D">
        <w:t>nvestor notifies the Company that it believes that there may have been a breach of the ESG Requirements, the Company must cooperate in good faith with the Investor in determining whether a breach has occurred.  The Company must respond promptly and in reas</w:t>
      </w:r>
      <w:r w:rsidRPr="0011015D">
        <w:t>onable detail to any request for information from the Investors and provide documentary support for the response if requested.</w:t>
      </w:r>
    </w:p>
    <w:p w14:paraId="3FB01C58" w14:textId="77777777" w:rsidR="00FC607D" w:rsidRPr="0011015D" w:rsidRDefault="000748BF" w:rsidP="00524BD5">
      <w:pPr>
        <w:pStyle w:val="ScheduleText1"/>
      </w:pPr>
      <w:r w:rsidRPr="0011015D">
        <w:t xml:space="preserve">Serious incidents </w:t>
      </w:r>
    </w:p>
    <w:p w14:paraId="3FB01C59" w14:textId="77777777" w:rsidR="00381918" w:rsidRPr="0011015D" w:rsidRDefault="000748BF" w:rsidP="005A3E7E">
      <w:pPr>
        <w:pStyle w:val="Clausetext2"/>
      </w:pPr>
      <w:r w:rsidRPr="0011015D">
        <w:t>The Company must notify the Investors of</w:t>
      </w:r>
      <w:r>
        <w:t xml:space="preserve"> Serious Incidents promptly and </w:t>
      </w:r>
      <w:r w:rsidRPr="0011015D">
        <w:t xml:space="preserve">in any event within 3 days after </w:t>
      </w:r>
      <w:r>
        <w:t>becom</w:t>
      </w:r>
      <w:r>
        <w:t xml:space="preserve">ing aware of </w:t>
      </w:r>
      <w:r w:rsidRPr="0011015D">
        <w:t>their occurrence</w:t>
      </w:r>
      <w:r w:rsidRPr="0011015D">
        <w:t>.  The Company must</w:t>
      </w:r>
      <w:r w:rsidRPr="0011015D">
        <w:t xml:space="preserve"> supply the Investors within 14 days of </w:t>
      </w:r>
      <w:r>
        <w:t xml:space="preserve">the </w:t>
      </w:r>
      <w:r>
        <w:t>Serious Incident</w:t>
      </w:r>
      <w:r w:rsidRPr="0011015D">
        <w:t xml:space="preserve"> </w:t>
      </w:r>
      <w:r>
        <w:t>with</w:t>
      </w:r>
      <w:r w:rsidRPr="0011015D">
        <w:t xml:space="preserve"> a report in the form set out in Part C of Schedule [X]</w:t>
      </w:r>
      <w:r w:rsidRPr="0011015D">
        <w:rPr>
          <w:rFonts w:cs="Arial"/>
          <w:szCs w:val="22"/>
        </w:rPr>
        <w:t xml:space="preserve"> incorporating, in each case, </w:t>
      </w:r>
      <w:r w:rsidRPr="0011015D">
        <w:rPr>
          <w:rFonts w:cs="Arial"/>
          <w:szCs w:val="22"/>
        </w:rPr>
        <w:t>details</w:t>
      </w:r>
      <w:r w:rsidRPr="0011015D">
        <w:rPr>
          <w:rFonts w:cs="Arial"/>
          <w:szCs w:val="22"/>
        </w:rPr>
        <w:t xml:space="preserve"> of </w:t>
      </w:r>
      <w:r w:rsidRPr="0011015D">
        <w:rPr>
          <w:rFonts w:cs="Arial"/>
          <w:szCs w:val="22"/>
        </w:rPr>
        <w:t xml:space="preserve">(1) </w:t>
      </w:r>
      <w:r w:rsidRPr="0011015D">
        <w:rPr>
          <w:rFonts w:cs="Arial"/>
          <w:szCs w:val="22"/>
        </w:rPr>
        <w:t xml:space="preserve">the nature of the incident and the on-site </w:t>
      </w:r>
      <w:r w:rsidRPr="0011015D">
        <w:rPr>
          <w:rFonts w:cs="Arial"/>
          <w:szCs w:val="22"/>
        </w:rPr>
        <w:t>and off-site effects</w:t>
      </w:r>
      <w:r w:rsidRPr="0011015D">
        <w:t xml:space="preserve"> and (2) any action the Group </w:t>
      </w:r>
      <w:r w:rsidRPr="0011015D">
        <w:lastRenderedPageBreak/>
        <w:t>Company [</w:t>
      </w:r>
      <w:r w:rsidRPr="0011015D">
        <w:rPr>
          <w:i/>
        </w:rPr>
        <w:t>or the Client</w:t>
      </w:r>
      <w:r>
        <w:rPr>
          <w:i/>
        </w:rPr>
        <w:t xml:space="preserve"> (as the case may be)</w:t>
      </w:r>
      <w:r w:rsidRPr="0011015D">
        <w:t xml:space="preserve">] proposes to take in order to remedy the effect of </w:t>
      </w:r>
      <w:r>
        <w:t xml:space="preserve">the </w:t>
      </w:r>
      <w:r>
        <w:t>Serious Incident</w:t>
      </w:r>
      <w:r w:rsidRPr="0011015D">
        <w:rPr>
          <w:rFonts w:cs="Arial"/>
          <w:szCs w:val="22"/>
        </w:rPr>
        <w:t xml:space="preserve">.  </w:t>
      </w:r>
      <w:r w:rsidRPr="0011015D">
        <w:t>The Company must keep the Investors informed about the progress of any remedial action.</w:t>
      </w:r>
    </w:p>
    <w:p w14:paraId="3FB01C5A" w14:textId="77777777" w:rsidR="00FC607D" w:rsidRPr="0011015D" w:rsidRDefault="000748BF" w:rsidP="0011015D">
      <w:pPr>
        <w:pStyle w:val="Clausetext2"/>
      </w:pPr>
      <w:r>
        <w:t>A “</w:t>
      </w:r>
      <w:r w:rsidRPr="005A3E7E">
        <w:rPr>
          <w:b/>
        </w:rPr>
        <w:t>Serious Incident</w:t>
      </w:r>
      <w:r>
        <w:t xml:space="preserve">” is one </w:t>
      </w:r>
      <w:r w:rsidRPr="0011015D">
        <w:t>of the following which affect</w:t>
      </w:r>
      <w:r>
        <w:t>s</w:t>
      </w:r>
      <w:r w:rsidRPr="0011015D">
        <w:t xml:space="preserve"> any employee, customer, supplier or other person who has dealings with, or is affected by the activities of, a Group Company </w:t>
      </w:r>
      <w:r>
        <w:t>[</w:t>
      </w:r>
      <w:r w:rsidRPr="00FA594E">
        <w:rPr>
          <w:i/>
        </w:rPr>
        <w:t>or a Client</w:t>
      </w:r>
      <w:r>
        <w:t xml:space="preserve">] </w:t>
      </w:r>
      <w:r w:rsidRPr="0011015D">
        <w:t xml:space="preserve">or </w:t>
      </w:r>
      <w:r w:rsidRPr="0011015D">
        <w:t xml:space="preserve">which </w:t>
      </w:r>
      <w:r w:rsidRPr="0011015D">
        <w:t xml:space="preserve">occur on or nearby any site, plant, equipment or </w:t>
      </w:r>
      <w:r w:rsidRPr="0011015D">
        <w:t>facility of any Group Company</w:t>
      </w:r>
      <w:r>
        <w:t xml:space="preserve"> [</w:t>
      </w:r>
      <w:r w:rsidRPr="00FA594E">
        <w:rPr>
          <w:i/>
        </w:rPr>
        <w:t>or Client</w:t>
      </w:r>
      <w:r>
        <w:t>]</w:t>
      </w:r>
      <w:r w:rsidRPr="0011015D">
        <w:t>:</w:t>
      </w:r>
    </w:p>
    <w:p w14:paraId="3FB01C5B" w14:textId="77777777" w:rsidR="00EF44F6" w:rsidRPr="0011015D" w:rsidRDefault="000748BF" w:rsidP="00586D14">
      <w:pPr>
        <w:pStyle w:val="ScheduleText3"/>
        <w:numPr>
          <w:ilvl w:val="2"/>
          <w:numId w:val="35"/>
        </w:numPr>
      </w:pPr>
      <w:r w:rsidRPr="0011015D">
        <w:t>an incident resulting in death or permanent injury to any person;</w:t>
      </w:r>
    </w:p>
    <w:p w14:paraId="3FB01C5C" w14:textId="77777777" w:rsidR="00FC607D" w:rsidRPr="0011015D" w:rsidRDefault="000748BF" w:rsidP="005A3E7E">
      <w:pPr>
        <w:pStyle w:val="ScheduleText3"/>
      </w:pPr>
      <w:r w:rsidRPr="0011015D">
        <w:t xml:space="preserve">any </w:t>
      </w:r>
      <w:r w:rsidRPr="0011015D">
        <w:t xml:space="preserve">other </w:t>
      </w:r>
      <w:r w:rsidRPr="0011015D">
        <w:t xml:space="preserve">incident </w:t>
      </w:r>
      <w:r w:rsidRPr="0011015D">
        <w:t xml:space="preserve">which has a material negative impact on the environment or the health, safety and security situation </w:t>
      </w:r>
      <w:r w:rsidRPr="0011015D">
        <w:t>(including without limitati</w:t>
      </w:r>
      <w:r w:rsidRPr="0011015D">
        <w:t>on any explosion, spill or workplace accident which results in death, serious or multiple injuries or material environmental contamination</w:t>
      </w:r>
      <w:r w:rsidRPr="0011015D">
        <w:t>)</w:t>
      </w:r>
      <w:r w:rsidRPr="0011015D">
        <w:t>; and</w:t>
      </w:r>
    </w:p>
    <w:p w14:paraId="3FB01C5D" w14:textId="77777777" w:rsidR="00FC607D" w:rsidRPr="0011015D" w:rsidRDefault="000748BF" w:rsidP="005A3E7E">
      <w:pPr>
        <w:pStyle w:val="ScheduleText3"/>
      </w:pPr>
      <w:r w:rsidRPr="0011015D">
        <w:t>any incident of a social nature (including without limitation any violent labour unrest or dispute with local c</w:t>
      </w:r>
      <w:r w:rsidRPr="0011015D">
        <w:t xml:space="preserve">ommunities), which has or is reasonably likely to have a </w:t>
      </w:r>
      <w:r w:rsidRPr="0011015D">
        <w:t>material negative effect on</w:t>
      </w:r>
      <w:r w:rsidRPr="0011015D">
        <w:t xml:space="preserve"> the social and cultural context.</w:t>
      </w:r>
    </w:p>
    <w:p w14:paraId="3FB01C5E" w14:textId="77777777" w:rsidR="00FC607D" w:rsidRPr="0011015D" w:rsidRDefault="000748BF" w:rsidP="0011015D">
      <w:pPr>
        <w:pStyle w:val="draftingnote"/>
      </w:pPr>
      <w:r w:rsidRPr="0011015D">
        <w:t>Note: the following provisions may be merged with more general ‘access’ or ‘costs’ clauses - eg for default in providing financial informa</w:t>
      </w:r>
      <w:r w:rsidRPr="0011015D">
        <w:t>tion.  The company will normally push back on giving a ‘blank cheque’ for adviser</w:t>
      </w:r>
      <w:r w:rsidRPr="0011015D">
        <w:t>’</w:t>
      </w:r>
      <w:r w:rsidRPr="0011015D">
        <w:t>s visits – this clause limits reimbursement to one inspection a year plus default</w:t>
      </w:r>
    </w:p>
    <w:p w14:paraId="3FB01C5F" w14:textId="77777777" w:rsidR="00FC607D" w:rsidRPr="0011015D" w:rsidRDefault="000748BF" w:rsidP="00524BD5">
      <w:pPr>
        <w:pStyle w:val="ScheduleText1"/>
      </w:pPr>
      <w:r w:rsidRPr="0011015D">
        <w:t>Inspection rights</w:t>
      </w:r>
    </w:p>
    <w:p w14:paraId="3FB01C60" w14:textId="77777777" w:rsidR="00FC607D" w:rsidRPr="0011015D" w:rsidRDefault="000748BF" w:rsidP="005A3E7E">
      <w:pPr>
        <w:pStyle w:val="ScheduleText2"/>
      </w:pPr>
      <w:r w:rsidRPr="0011015D">
        <w:t>The Company must permit the Investors</w:t>
      </w:r>
      <w:r w:rsidRPr="00465916">
        <w:t>,</w:t>
      </w:r>
      <w:r w:rsidRPr="0011015D">
        <w:t xml:space="preserve"> their accountants and their other a</w:t>
      </w:r>
      <w:r w:rsidRPr="0011015D">
        <w:t>dvisers unrestricted access to each Group Company at all reasonable times and on reasonable notice to:</w:t>
      </w:r>
    </w:p>
    <w:p w14:paraId="3FB01C61" w14:textId="77777777" w:rsidR="00FC607D" w:rsidRPr="0011015D" w:rsidRDefault="000748BF" w:rsidP="00586D14">
      <w:pPr>
        <w:pStyle w:val="ScheduleText3"/>
        <w:numPr>
          <w:ilvl w:val="2"/>
          <w:numId w:val="36"/>
        </w:numPr>
      </w:pPr>
      <w:r w:rsidRPr="0011015D">
        <w:t xml:space="preserve">meet with senior management of the Company to discuss any questions or issues in relation to ESG Requirements; </w:t>
      </w:r>
    </w:p>
    <w:p w14:paraId="3FB01C62" w14:textId="77777777" w:rsidR="00FC607D" w:rsidRPr="0011015D" w:rsidRDefault="000748BF" w:rsidP="005A3E7E">
      <w:pPr>
        <w:pStyle w:val="ScheduleText3"/>
      </w:pPr>
      <w:r w:rsidRPr="0011015D">
        <w:t>investigate any failure to comply with or</w:t>
      </w:r>
      <w:r w:rsidRPr="0011015D">
        <w:t xml:space="preserve"> implement the ESG Requirements (including the non-implementation of any ESG Action Plan); </w:t>
      </w:r>
    </w:p>
    <w:p w14:paraId="3FB01C63" w14:textId="77777777" w:rsidR="00FC607D" w:rsidRPr="0011015D" w:rsidRDefault="000748BF" w:rsidP="005A3E7E">
      <w:pPr>
        <w:pStyle w:val="ScheduleText3"/>
      </w:pPr>
      <w:r w:rsidRPr="0011015D">
        <w:t>inspect and to take copies and extracts from the books, accounts and records of each Group Company; and</w:t>
      </w:r>
    </w:p>
    <w:p w14:paraId="3FB01C64" w14:textId="77777777" w:rsidR="00FC607D" w:rsidRPr="0011015D" w:rsidRDefault="000748BF" w:rsidP="005A3E7E">
      <w:pPr>
        <w:pStyle w:val="ScheduleText3"/>
      </w:pPr>
      <w:r w:rsidRPr="0011015D">
        <w:t>view the premises of each Group Company.</w:t>
      </w:r>
    </w:p>
    <w:p w14:paraId="3FB01C65" w14:textId="77777777" w:rsidR="008065B3" w:rsidRPr="0011015D" w:rsidRDefault="000748BF" w:rsidP="005A3E7E">
      <w:pPr>
        <w:pStyle w:val="ScheduleText2"/>
      </w:pPr>
      <w:r w:rsidRPr="0011015D">
        <w:t>The Company must re</w:t>
      </w:r>
      <w:r w:rsidRPr="0011015D">
        <w:t>imburse the Investors on demand for all costs and expenses (including consultancy costs and any travel expenses) incurred in connection with any meetings, investigations or inspections made under clause [2.6] provided that the reimbursement shall only be f</w:t>
      </w:r>
      <w:r w:rsidRPr="0011015D">
        <w:t>or:</w:t>
      </w:r>
    </w:p>
    <w:p w14:paraId="3FB01C66" w14:textId="77777777" w:rsidR="008065B3" w:rsidRPr="0011015D" w:rsidRDefault="000748BF" w:rsidP="00586D14">
      <w:pPr>
        <w:pStyle w:val="ScheduleText3"/>
        <w:numPr>
          <w:ilvl w:val="2"/>
          <w:numId w:val="37"/>
        </w:numPr>
      </w:pPr>
      <w:r w:rsidRPr="0011015D">
        <w:t xml:space="preserve">meetings, investigations or inspections which reveal a material breach of the ESG Requirements; and </w:t>
      </w:r>
    </w:p>
    <w:p w14:paraId="3FB01C67" w14:textId="77777777" w:rsidR="008065B3" w:rsidRPr="0011015D" w:rsidRDefault="000748BF" w:rsidP="005A3E7E">
      <w:pPr>
        <w:pStyle w:val="ScheduleText3"/>
      </w:pPr>
      <w:r w:rsidRPr="0011015D">
        <w:t xml:space="preserve">one other meeting, investigation or inspection in any financial year of the Company.  </w:t>
      </w:r>
    </w:p>
    <w:p w14:paraId="3FB01C68" w14:textId="77777777" w:rsidR="00FC607D" w:rsidRPr="0011015D" w:rsidRDefault="000748BF" w:rsidP="005A3E7E">
      <w:pPr>
        <w:pStyle w:val="Clausetext2"/>
      </w:pPr>
      <w:r w:rsidRPr="0011015D">
        <w:lastRenderedPageBreak/>
        <w:t>All other meetings, investigations or inspections shall be at th</w:t>
      </w:r>
      <w:r w:rsidRPr="0011015D">
        <w:t>e Investors’ cost.</w:t>
      </w:r>
    </w:p>
    <w:p w14:paraId="3FB01C69" w14:textId="77777777" w:rsidR="00FC607D" w:rsidRPr="0011015D" w:rsidRDefault="000748BF" w:rsidP="007D2DA5">
      <w:pPr>
        <w:pStyle w:val="Heading2"/>
        <w:jc w:val="both"/>
        <w:rPr>
          <w:rFonts w:ascii="Georgia" w:hAnsi="Georgia"/>
        </w:rPr>
      </w:pPr>
      <w:bookmarkStart w:id="27" w:name="_Toc368064311"/>
      <w:bookmarkStart w:id="28" w:name="_Toc456289233"/>
      <w:bookmarkStart w:id="29" w:name="_Toc451759968"/>
      <w:bookmarkStart w:id="30" w:name="_Toc462908779"/>
      <w:r w:rsidRPr="0011015D">
        <w:rPr>
          <w:rFonts w:ascii="Georgia" w:hAnsi="Georgia"/>
        </w:rPr>
        <w:t>ESG on-going covenants</w:t>
      </w:r>
      <w:bookmarkEnd w:id="27"/>
      <w:bookmarkEnd w:id="28"/>
      <w:bookmarkEnd w:id="29"/>
      <w:bookmarkEnd w:id="30"/>
    </w:p>
    <w:p w14:paraId="3FB01C6A" w14:textId="77777777" w:rsidR="00FC607D" w:rsidRPr="0011015D" w:rsidRDefault="000748BF" w:rsidP="00524BD5">
      <w:pPr>
        <w:pStyle w:val="ScheduleText1"/>
      </w:pPr>
      <w:r w:rsidRPr="0011015D">
        <w:t>ESG Requirements</w:t>
      </w:r>
    </w:p>
    <w:p w14:paraId="3FB01C6B" w14:textId="77777777" w:rsidR="00FC607D" w:rsidRPr="0011015D" w:rsidRDefault="000748BF" w:rsidP="005A3E7E">
      <w:pPr>
        <w:pStyle w:val="ScheduleText2"/>
      </w:pPr>
      <w:r w:rsidRPr="0011015D">
        <w:t>The Company must and must ensure that each other Group Company (whether acquired before or after the date of this Agreement) will:</w:t>
      </w:r>
    </w:p>
    <w:p w14:paraId="3FB01C6C" w14:textId="77777777" w:rsidR="00FC607D" w:rsidRPr="0011015D" w:rsidRDefault="000748BF" w:rsidP="00586D14">
      <w:pPr>
        <w:pStyle w:val="ScheduleText3"/>
        <w:numPr>
          <w:ilvl w:val="2"/>
          <w:numId w:val="38"/>
        </w:numPr>
      </w:pPr>
      <w:r w:rsidRPr="0011015D">
        <w:t xml:space="preserve">comply with the ESG Requirements, subject to any period permitted </w:t>
      </w:r>
      <w:r w:rsidRPr="0011015D">
        <w:t>to achieve compliance with a ESG Requirement set out in the ESG Action Plan; and</w:t>
      </w:r>
    </w:p>
    <w:p w14:paraId="3FB01C6D" w14:textId="77777777" w:rsidR="00FC607D" w:rsidRPr="0011015D" w:rsidRDefault="000748BF" w:rsidP="005A3E7E">
      <w:pPr>
        <w:pStyle w:val="ScheduleText3"/>
      </w:pPr>
      <w:r w:rsidRPr="0011015D">
        <w:t>take all reasonable steps in anticipation of known or expected future changes to the ESG Requirements.</w:t>
      </w:r>
    </w:p>
    <w:p w14:paraId="3FB01C6E" w14:textId="77777777" w:rsidR="00FC607D" w:rsidRPr="0011015D" w:rsidRDefault="000748BF" w:rsidP="0011015D">
      <w:pPr>
        <w:pStyle w:val="draftingnote"/>
      </w:pPr>
      <w:r w:rsidRPr="0011015D">
        <w:t>Financial institutions only</w:t>
      </w:r>
      <w:r w:rsidRPr="0011015D">
        <w:t xml:space="preserve"> – reasonable endeavours in relation to Clien</w:t>
      </w:r>
      <w:r w:rsidRPr="0011015D">
        <w:t>ts is acceptable on the basis that the Company adopts all the actions listed in Part E</w:t>
      </w:r>
    </w:p>
    <w:p w14:paraId="3FB01C6F" w14:textId="77777777" w:rsidR="00FC607D" w:rsidRPr="005A3E7E" w:rsidRDefault="000748BF" w:rsidP="005A3E7E">
      <w:pPr>
        <w:pStyle w:val="ScheduleText2"/>
        <w:rPr>
          <w:i/>
        </w:rPr>
      </w:pPr>
      <w:bookmarkStart w:id="31" w:name="_Ref451857314"/>
      <w:bookmarkStart w:id="32" w:name="_Ref451857181"/>
      <w:r w:rsidRPr="005A3E7E">
        <w:rPr>
          <w:i/>
        </w:rPr>
        <w:t xml:space="preserve">[The Company must use all reasonable endeavours to ensure that each Client complies with </w:t>
      </w:r>
      <w:bookmarkEnd w:id="31"/>
      <w:r>
        <w:rPr>
          <w:i/>
        </w:rPr>
        <w:t xml:space="preserve">the </w:t>
      </w:r>
      <w:r w:rsidRPr="005A3E7E">
        <w:rPr>
          <w:i/>
        </w:rPr>
        <w:t xml:space="preserve">applicable </w:t>
      </w:r>
      <w:r>
        <w:rPr>
          <w:i/>
        </w:rPr>
        <w:t xml:space="preserve">Client </w:t>
      </w:r>
      <w:r w:rsidRPr="005A3E7E">
        <w:rPr>
          <w:i/>
        </w:rPr>
        <w:t xml:space="preserve">ESG </w:t>
      </w:r>
      <w:r>
        <w:rPr>
          <w:i/>
        </w:rPr>
        <w:t>Standards]</w:t>
      </w:r>
      <w:r w:rsidRPr="005A3E7E">
        <w:rPr>
          <w:i/>
        </w:rPr>
        <w:t>.</w:t>
      </w:r>
      <w:bookmarkEnd w:id="32"/>
    </w:p>
    <w:p w14:paraId="3FB01C70" w14:textId="77777777" w:rsidR="00FC607D" w:rsidRPr="005A3E7E" w:rsidRDefault="000748BF" w:rsidP="005A3E7E">
      <w:pPr>
        <w:pStyle w:val="ScheduleText2"/>
        <w:rPr>
          <w:i/>
        </w:rPr>
      </w:pPr>
      <w:r w:rsidRPr="005A3E7E">
        <w:rPr>
          <w:i/>
        </w:rPr>
        <w:t>For the purposes of clause</w:t>
      </w:r>
      <w:r w:rsidRPr="005A3E7E">
        <w:rPr>
          <w:i/>
        </w:rPr>
        <w:t xml:space="preserve"> </w:t>
      </w:r>
      <w:r>
        <w:rPr>
          <w:i/>
        </w:rPr>
        <w:fldChar w:fldCharType="begin"/>
      </w:r>
      <w:r>
        <w:rPr>
          <w:i/>
        </w:rPr>
        <w:instrText xml:space="preserve"> REF _Ref451857314 \r \h </w:instrText>
      </w:r>
      <w:r>
        <w:rPr>
          <w:i/>
        </w:rPr>
      </w:r>
      <w:r>
        <w:rPr>
          <w:i/>
        </w:rPr>
        <w:fldChar w:fldCharType="separate"/>
      </w:r>
      <w:r>
        <w:rPr>
          <w:i/>
        </w:rPr>
        <w:t>11.2</w:t>
      </w:r>
      <w:r>
        <w:rPr>
          <w:i/>
        </w:rPr>
        <w:fldChar w:fldCharType="end"/>
      </w:r>
      <w:r w:rsidRPr="005A3E7E">
        <w:rPr>
          <w:i/>
        </w:rPr>
        <w:t xml:space="preserve">, ‘all reasonable endeavours’ includes (but is not limited to) compliance </w:t>
      </w:r>
      <w:r w:rsidRPr="005A3E7E">
        <w:rPr>
          <w:i/>
        </w:rPr>
        <w:t xml:space="preserve">by the Company </w:t>
      </w:r>
      <w:r w:rsidRPr="005A3E7E">
        <w:rPr>
          <w:i/>
        </w:rPr>
        <w:t xml:space="preserve">with </w:t>
      </w:r>
      <w:r w:rsidRPr="005A3E7E">
        <w:rPr>
          <w:i/>
        </w:rPr>
        <w:t xml:space="preserve">paragraph </w:t>
      </w:r>
      <w:r w:rsidRPr="005A3E7E">
        <w:rPr>
          <w:i/>
        </w:rPr>
        <w:fldChar w:fldCharType="begin"/>
      </w:r>
      <w:r w:rsidRPr="005A3E7E">
        <w:rPr>
          <w:i/>
        </w:rPr>
        <w:instrText xml:space="preserve"> REF _Ref373331688 \r \h </w:instrText>
      </w:r>
      <w:r w:rsidRPr="005A3E7E">
        <w:rPr>
          <w:i/>
        </w:rPr>
        <w:instrText xml:space="preserve"> \* MERGEFORMAT </w:instrText>
      </w:r>
      <w:r w:rsidRPr="005A3E7E">
        <w:rPr>
          <w:i/>
        </w:rPr>
      </w:r>
      <w:r w:rsidRPr="005A3E7E">
        <w:rPr>
          <w:i/>
        </w:rPr>
        <w:fldChar w:fldCharType="separate"/>
      </w:r>
      <w:r>
        <w:rPr>
          <w:i/>
        </w:rPr>
        <w:t>5</w:t>
      </w:r>
      <w:r w:rsidRPr="005A3E7E">
        <w:rPr>
          <w:i/>
        </w:rPr>
        <w:fldChar w:fldCharType="end"/>
      </w:r>
      <w:r w:rsidRPr="005A3E7E">
        <w:rPr>
          <w:i/>
        </w:rPr>
        <w:t xml:space="preserve"> of Part A of Schedule [X]</w:t>
      </w:r>
      <w:r w:rsidRPr="005A3E7E">
        <w:rPr>
          <w:i/>
        </w:rPr>
        <w:t xml:space="preserve"> (ESG Management System)</w:t>
      </w:r>
      <w:r w:rsidRPr="005A3E7E">
        <w:rPr>
          <w:i/>
        </w:rPr>
        <w:t xml:space="preserve"> </w:t>
      </w:r>
      <w:r w:rsidRPr="005A3E7E">
        <w:rPr>
          <w:i/>
        </w:rPr>
        <w:t>and Part E of Schedule [X]</w:t>
      </w:r>
      <w:r w:rsidRPr="005A3E7E">
        <w:rPr>
          <w:i/>
        </w:rPr>
        <w:t xml:space="preserve"> (ESG Management Systems for Financial Institutions)]</w:t>
      </w:r>
      <w:r w:rsidRPr="005A3E7E">
        <w:rPr>
          <w:i/>
        </w:rPr>
        <w:t>.</w:t>
      </w:r>
    </w:p>
    <w:p w14:paraId="3FB01C71" w14:textId="77777777" w:rsidR="00FC607D" w:rsidRPr="0011015D" w:rsidRDefault="000748BF" w:rsidP="005A3E7E">
      <w:pPr>
        <w:pStyle w:val="ScheduleText2"/>
      </w:pPr>
      <w:r w:rsidRPr="0011015D">
        <w:t xml:space="preserve">The Company must implement all actions set out in the ESG Action Plan </w:t>
      </w:r>
      <w:r w:rsidRPr="0011015D">
        <w:t xml:space="preserve">within the time-frames set out in that plan. </w:t>
      </w:r>
    </w:p>
    <w:p w14:paraId="3FB01C72" w14:textId="77777777" w:rsidR="00FC607D" w:rsidRPr="0011015D" w:rsidRDefault="000748BF" w:rsidP="007D2DA5">
      <w:pPr>
        <w:pStyle w:val="Heading2"/>
        <w:jc w:val="both"/>
        <w:rPr>
          <w:rFonts w:ascii="Georgia" w:hAnsi="Georgia"/>
        </w:rPr>
      </w:pPr>
      <w:bookmarkStart w:id="33" w:name="_Toc368064312"/>
      <w:bookmarkStart w:id="34" w:name="_Toc456289234"/>
      <w:bookmarkStart w:id="35" w:name="_Toc451759969"/>
      <w:bookmarkStart w:id="36" w:name="_Toc462908780"/>
      <w:r w:rsidRPr="0011015D">
        <w:rPr>
          <w:rFonts w:ascii="Georgia" w:hAnsi="Georgia"/>
        </w:rPr>
        <w:t xml:space="preserve">Board </w:t>
      </w:r>
      <w:r w:rsidRPr="0011015D">
        <w:rPr>
          <w:rFonts w:ascii="Georgia" w:hAnsi="Georgia"/>
        </w:rPr>
        <w:t>process</w:t>
      </w:r>
      <w:bookmarkEnd w:id="33"/>
      <w:bookmarkEnd w:id="34"/>
      <w:bookmarkEnd w:id="35"/>
      <w:bookmarkEnd w:id="36"/>
    </w:p>
    <w:p w14:paraId="3FB01C73" w14:textId="77777777" w:rsidR="009410E8" w:rsidRPr="0011015D" w:rsidRDefault="000748BF" w:rsidP="00524BD5">
      <w:pPr>
        <w:pStyle w:val="ScheduleText1"/>
      </w:pPr>
      <w:r w:rsidRPr="0011015D">
        <w:t>Board qualification</w:t>
      </w:r>
    </w:p>
    <w:p w14:paraId="3FB01C74" w14:textId="77777777" w:rsidR="00524BD5" w:rsidRPr="00524BD5" w:rsidRDefault="000748BF" w:rsidP="00524BD5">
      <w:pPr>
        <w:pStyle w:val="Clausetext2"/>
        <w:rPr>
          <w:lang w:val="en-IN"/>
        </w:rPr>
      </w:pPr>
      <w:r w:rsidRPr="00524BD5">
        <w:rPr>
          <w:lang w:val="en-IN"/>
        </w:rPr>
        <w:t xml:space="preserve">No Prohibited Person shall be appointed as director of the Company and/or any Group Company.  The Company shall carry out KYC Checks on the proposed director and </w:t>
      </w:r>
      <w:r>
        <w:rPr>
          <w:lang w:val="en-IN"/>
        </w:rPr>
        <w:t xml:space="preserve">send </w:t>
      </w:r>
      <w:r w:rsidRPr="00524BD5">
        <w:rPr>
          <w:lang w:val="en-IN"/>
        </w:rPr>
        <w:t xml:space="preserve">the information received for that purpose </w:t>
      </w:r>
      <w:r>
        <w:rPr>
          <w:lang w:val="en-IN"/>
        </w:rPr>
        <w:t xml:space="preserve">to </w:t>
      </w:r>
      <w:r w:rsidRPr="0011015D">
        <w:t>the Investors</w:t>
      </w:r>
      <w:r w:rsidRPr="00524BD5">
        <w:rPr>
          <w:lang w:val="en-IN"/>
        </w:rPr>
        <w:t>.</w:t>
      </w:r>
    </w:p>
    <w:p w14:paraId="3FB01C75" w14:textId="77777777" w:rsidR="009410E8" w:rsidRPr="00524BD5" w:rsidRDefault="000748BF" w:rsidP="0011015D">
      <w:pPr>
        <w:pStyle w:val="Clausetext2"/>
        <w:rPr>
          <w:lang w:val="en-IN"/>
        </w:rPr>
      </w:pPr>
    </w:p>
    <w:p w14:paraId="3FB01C76" w14:textId="77777777" w:rsidR="009410E8" w:rsidRPr="0011015D" w:rsidRDefault="000748BF" w:rsidP="0011015D">
      <w:pPr>
        <w:pStyle w:val="draftingnote"/>
      </w:pPr>
      <w:r w:rsidRPr="0011015D">
        <w:t xml:space="preserve">Use the following to the extent not covered in standard SHA wording.  ‘Board’ may be defined already.  If </w:t>
      </w:r>
      <w:r w:rsidRPr="00465916">
        <w:t>the Investors have</w:t>
      </w:r>
      <w:r w:rsidRPr="0011015D">
        <w:t xml:space="preserve"> board seat</w:t>
      </w:r>
      <w:r w:rsidRPr="00465916">
        <w:t>s,</w:t>
      </w:r>
      <w:r w:rsidRPr="0011015D">
        <w:t xml:space="preserve"> some of these provisions may be in place already</w:t>
      </w:r>
    </w:p>
    <w:p w14:paraId="3FB01C77" w14:textId="77777777" w:rsidR="00FC607D" w:rsidRPr="0011015D" w:rsidRDefault="000748BF" w:rsidP="00524BD5">
      <w:pPr>
        <w:pStyle w:val="ScheduleText1"/>
      </w:pPr>
      <w:r w:rsidRPr="0011015D">
        <w:t>Board sc</w:t>
      </w:r>
      <w:r w:rsidRPr="0011015D">
        <w:t>hedule and papers</w:t>
      </w:r>
    </w:p>
    <w:p w14:paraId="3FB01C78" w14:textId="77777777" w:rsidR="00FC607D" w:rsidRPr="0011015D" w:rsidRDefault="000748BF" w:rsidP="00AD05C5">
      <w:pPr>
        <w:pStyle w:val="Clausetext2"/>
      </w:pPr>
      <w:r w:rsidRPr="0011015D">
        <w:t>The Company must ensure that:</w:t>
      </w:r>
    </w:p>
    <w:p w14:paraId="3FB01C79" w14:textId="77777777" w:rsidR="00FC607D" w:rsidRPr="0011015D" w:rsidRDefault="000748BF" w:rsidP="00586D14">
      <w:pPr>
        <w:pStyle w:val="ScheduleText3"/>
        <w:numPr>
          <w:ilvl w:val="2"/>
          <w:numId w:val="39"/>
        </w:numPr>
      </w:pPr>
      <w:r w:rsidRPr="0011015D">
        <w:t>each year it adopts a schedule of meetings of the Company’s board of directors (the “</w:t>
      </w:r>
      <w:r w:rsidRPr="00AD05C5">
        <w:rPr>
          <w:b/>
        </w:rPr>
        <w:t>Board</w:t>
      </w:r>
      <w:r w:rsidRPr="0011015D">
        <w:t>”) and Board committee meetings, including details of when statutory and regulatory returns are due. A copy of the sch</w:t>
      </w:r>
      <w:r w:rsidRPr="0011015D">
        <w:t>edule will be sent to the Investors [on request][when the schedule is adopted];</w:t>
      </w:r>
    </w:p>
    <w:p w14:paraId="3FB01C7A" w14:textId="77777777" w:rsidR="00FC607D" w:rsidRPr="0011015D" w:rsidRDefault="000748BF" w:rsidP="00AD05C5">
      <w:pPr>
        <w:pStyle w:val="ScheduleText3"/>
      </w:pPr>
      <w:r w:rsidRPr="0011015D">
        <w:lastRenderedPageBreak/>
        <w:t>copies of agendas and papers for Board and Board committee meetings will be sent to the Investors in advance; and</w:t>
      </w:r>
    </w:p>
    <w:p w14:paraId="3FB01C7B" w14:textId="77777777" w:rsidR="00FC607D" w:rsidRPr="0011015D" w:rsidRDefault="000748BF" w:rsidP="00AD05C5">
      <w:pPr>
        <w:pStyle w:val="ScheduleText3"/>
        <w:rPr>
          <w:rFonts w:eastAsia="SimSun" w:cs="Arial"/>
          <w:lang w:eastAsia="zh-CN" w:bidi="ar-AE"/>
        </w:rPr>
      </w:pPr>
      <w:r w:rsidRPr="0011015D">
        <w:t>the Investors are supplied on request with minutes of Board an</w:t>
      </w:r>
      <w:r w:rsidRPr="0011015D">
        <w:t>d Board committee meetings unless the Company is legally prevented from circulating those minutes</w:t>
      </w:r>
      <w:r w:rsidRPr="0011015D">
        <w:rPr>
          <w:rFonts w:eastAsia="SimSun" w:cs="Arial"/>
          <w:lang w:eastAsia="zh-CN" w:bidi="ar-AE"/>
        </w:rPr>
        <w:t xml:space="preserve">. </w:t>
      </w:r>
    </w:p>
    <w:p w14:paraId="3FB01C7C" w14:textId="77777777" w:rsidR="00524BD5" w:rsidRDefault="000748BF" w:rsidP="00397BCE">
      <w:pPr>
        <w:pStyle w:val="Heading2"/>
        <w:rPr>
          <w:rFonts w:ascii="Georgia" w:hAnsi="Georgia"/>
        </w:rPr>
      </w:pPr>
      <w:bookmarkStart w:id="37" w:name="_Toc462908781"/>
      <w:r>
        <w:rPr>
          <w:rFonts w:ascii="Georgia" w:hAnsi="Georgia"/>
        </w:rPr>
        <w:t>Share transfers</w:t>
      </w:r>
      <w:bookmarkEnd w:id="37"/>
    </w:p>
    <w:p w14:paraId="3FB01C7D" w14:textId="77777777" w:rsidR="00524BD5" w:rsidRPr="00524BD5" w:rsidRDefault="000748BF" w:rsidP="00524BD5">
      <w:pPr>
        <w:pStyle w:val="ScheduleText1"/>
      </w:pPr>
      <w:r w:rsidRPr="00524BD5">
        <w:t>Restriction on new shareholders</w:t>
      </w:r>
    </w:p>
    <w:p w14:paraId="3FB01C7E" w14:textId="77777777" w:rsidR="00524BD5" w:rsidRPr="00524BD5" w:rsidRDefault="000748BF" w:rsidP="00524BD5">
      <w:pPr>
        <w:pStyle w:val="Clausetext2"/>
        <w:rPr>
          <w:lang w:val="en-IN"/>
        </w:rPr>
      </w:pPr>
      <w:r w:rsidRPr="00524BD5">
        <w:rPr>
          <w:lang w:val="en-IN"/>
        </w:rPr>
        <w:t xml:space="preserve">No Prohibited Person shall be </w:t>
      </w:r>
      <w:r>
        <w:rPr>
          <w:lang w:val="en-IN"/>
        </w:rPr>
        <w:t>registered as a shareholder</w:t>
      </w:r>
      <w:r w:rsidRPr="00524BD5">
        <w:rPr>
          <w:lang w:val="en-IN"/>
        </w:rPr>
        <w:t xml:space="preserve"> of the Company.  The Company shall carry out KYC Checks on the proposed </w:t>
      </w:r>
      <w:r>
        <w:rPr>
          <w:lang w:val="en-IN"/>
        </w:rPr>
        <w:t xml:space="preserve">shareholder </w:t>
      </w:r>
      <w:r w:rsidRPr="00524BD5">
        <w:rPr>
          <w:lang w:val="en-IN"/>
        </w:rPr>
        <w:t xml:space="preserve">and </w:t>
      </w:r>
      <w:r>
        <w:rPr>
          <w:lang w:val="en-IN"/>
        </w:rPr>
        <w:t xml:space="preserve">send </w:t>
      </w:r>
      <w:r w:rsidRPr="00524BD5">
        <w:rPr>
          <w:lang w:val="en-IN"/>
        </w:rPr>
        <w:t xml:space="preserve">the information received for that purpose </w:t>
      </w:r>
      <w:r>
        <w:rPr>
          <w:lang w:val="en-IN"/>
        </w:rPr>
        <w:t>to</w:t>
      </w:r>
      <w:r>
        <w:rPr>
          <w:lang w:val="en-IN"/>
        </w:rPr>
        <w:t xml:space="preserve"> </w:t>
      </w:r>
      <w:r w:rsidRPr="0011015D">
        <w:t>the Investors</w:t>
      </w:r>
      <w:r w:rsidRPr="00524BD5">
        <w:rPr>
          <w:lang w:val="en-IN"/>
        </w:rPr>
        <w:t>.</w:t>
      </w:r>
      <w:bookmarkStart w:id="38" w:name="_Toc456289235"/>
    </w:p>
    <w:p w14:paraId="3FB01C7F" w14:textId="77777777" w:rsidR="00FC607D" w:rsidRPr="0011015D" w:rsidRDefault="000748BF" w:rsidP="00397BCE">
      <w:pPr>
        <w:pStyle w:val="Heading2"/>
        <w:rPr>
          <w:rFonts w:ascii="Georgia" w:hAnsi="Georgia"/>
        </w:rPr>
      </w:pPr>
      <w:bookmarkStart w:id="39" w:name="_Toc451759970"/>
      <w:bookmarkStart w:id="40" w:name="_Toc462908782"/>
      <w:r w:rsidRPr="0011015D">
        <w:rPr>
          <w:rFonts w:ascii="Georgia" w:hAnsi="Georgia"/>
        </w:rPr>
        <w:t>ESG Breach</w:t>
      </w:r>
      <w:bookmarkEnd w:id="38"/>
      <w:bookmarkEnd w:id="39"/>
      <w:bookmarkEnd w:id="40"/>
    </w:p>
    <w:p w14:paraId="3FB01C80" w14:textId="77777777" w:rsidR="00397BCE" w:rsidRPr="0011015D" w:rsidRDefault="000748BF" w:rsidP="0011015D">
      <w:pPr>
        <w:pStyle w:val="draftingnote"/>
      </w:pPr>
      <w:r w:rsidRPr="0011015D">
        <w:t xml:space="preserve">The following drafting is suggested to help define an ESG Breach and those which are </w:t>
      </w:r>
      <w:r w:rsidRPr="0011015D">
        <w:t>capable of remedy</w:t>
      </w:r>
    </w:p>
    <w:p w14:paraId="3FB01C81" w14:textId="77777777" w:rsidR="00397BCE" w:rsidRPr="0011015D" w:rsidRDefault="000748BF" w:rsidP="00524BD5">
      <w:pPr>
        <w:pStyle w:val="ScheduleText1"/>
      </w:pPr>
      <w:r w:rsidRPr="0011015D">
        <w:t>Breach of ESG obligations</w:t>
      </w:r>
    </w:p>
    <w:p w14:paraId="3FB01C82" w14:textId="77777777" w:rsidR="00397BCE" w:rsidRPr="0011015D" w:rsidRDefault="000748BF" w:rsidP="00AD05C5">
      <w:pPr>
        <w:pStyle w:val="ScheduleText2"/>
      </w:pPr>
      <w:r w:rsidRPr="0011015D">
        <w:t>If the Investors consider that an ESG Breach has (or may have) have occurred, the Investors shall inform the Company of their suspicions and shall have the right to appoint consultants to investigate the possible</w:t>
      </w:r>
      <w:r w:rsidRPr="0011015D">
        <w:t xml:space="preserve"> breach. Thereafter, the Investors and the Company shall meet to discuss possible remedies for the ESG Breach. Provided that </w:t>
      </w:r>
      <w:r w:rsidRPr="00465916">
        <w:t>[</w:t>
      </w:r>
      <w:r w:rsidRPr="0011015D">
        <w:t>the Investors have reasonable grounds for their suspicions</w:t>
      </w:r>
      <w:r w:rsidRPr="0011015D">
        <w:t>][the appointment has been approved by the ESG Committee]</w:t>
      </w:r>
      <w:r w:rsidRPr="0011015D">
        <w:t>, the reasonabl</w:t>
      </w:r>
      <w:r w:rsidRPr="0011015D">
        <w:t xml:space="preserve">e cost of appointment of the consultants shall be reimbursed by the Company. </w:t>
      </w:r>
    </w:p>
    <w:p w14:paraId="3FB01C83" w14:textId="77777777" w:rsidR="00397BCE" w:rsidRPr="0011015D" w:rsidRDefault="000748BF" w:rsidP="0011015D">
      <w:pPr>
        <w:pStyle w:val="draftingnote"/>
      </w:pPr>
      <w:r w:rsidRPr="0011015D">
        <w:t>Discuss with the ESG team whether, in the context of the business concerned, other breaches would be automatically irremediable</w:t>
      </w:r>
      <w:r w:rsidRPr="0011015D">
        <w:t xml:space="preserve">.  </w:t>
      </w:r>
    </w:p>
    <w:p w14:paraId="3FB01C84" w14:textId="77777777" w:rsidR="00397BCE" w:rsidRPr="0011015D" w:rsidRDefault="000748BF" w:rsidP="00AD05C5">
      <w:pPr>
        <w:pStyle w:val="ScheduleText2"/>
      </w:pPr>
      <w:r w:rsidRPr="0011015D">
        <w:t>If the ESG Breach is not capable of remedy this</w:t>
      </w:r>
      <w:r w:rsidRPr="0011015D">
        <w:t xml:space="preserve"> shall be an “</w:t>
      </w:r>
      <w:r w:rsidRPr="0011015D">
        <w:rPr>
          <w:b/>
        </w:rPr>
        <w:t>Irremediable ESG Breach</w:t>
      </w:r>
      <w:r w:rsidRPr="0011015D">
        <w:t xml:space="preserve">”.  The following ESG Breaches shall for the avoidance of doubt be Irremediable </w:t>
      </w:r>
      <w:r>
        <w:t xml:space="preserve">ESG </w:t>
      </w:r>
      <w:r w:rsidRPr="0011015D">
        <w:t>Breaches:</w:t>
      </w:r>
    </w:p>
    <w:p w14:paraId="3FB01C85" w14:textId="77777777" w:rsidR="00397BCE" w:rsidRPr="0011015D" w:rsidRDefault="000748BF" w:rsidP="00586D14">
      <w:pPr>
        <w:pStyle w:val="ScheduleText3"/>
        <w:numPr>
          <w:ilvl w:val="2"/>
          <w:numId w:val="40"/>
        </w:numPr>
      </w:pPr>
      <w:r w:rsidRPr="0011015D">
        <w:t xml:space="preserve">Financial Malpractice by a Group Company where (i) the Financial Malpractice or any payment in connection with the Financial </w:t>
      </w:r>
      <w:r w:rsidRPr="0011015D">
        <w:t xml:space="preserve">Malpractice was authorised by </w:t>
      </w:r>
      <w:r w:rsidRPr="0011015D">
        <w:t>[</w:t>
      </w:r>
      <w:r w:rsidRPr="0011015D">
        <w:t>one or more directors of a Group Company</w:t>
      </w:r>
      <w:r w:rsidRPr="0011015D">
        <w:t>][the Promoters/Managers]</w:t>
      </w:r>
      <w:r w:rsidRPr="0011015D">
        <w:t xml:space="preserve"> or (ii) the Group Company failed to have or to operate adequate procedures to prevent </w:t>
      </w:r>
      <w:r w:rsidRPr="0011015D">
        <w:t>Financial Malpractice</w:t>
      </w:r>
      <w:r w:rsidRPr="0011015D">
        <w:t>; and</w:t>
      </w:r>
    </w:p>
    <w:p w14:paraId="3FB01C86" w14:textId="77777777" w:rsidR="00397BCE" w:rsidRPr="0011015D" w:rsidRDefault="000748BF" w:rsidP="00AD05C5">
      <w:pPr>
        <w:pStyle w:val="ScheduleText3"/>
      </w:pPr>
      <w:r w:rsidRPr="0011015D">
        <w:t>a breach of Environmental Law or Social Law wh</w:t>
      </w:r>
      <w:r w:rsidRPr="0011015D">
        <w:t>ich results in death or significant permanent physical injury to natural persons or significant adverse environmental and/or social impacts that are diverse, irreversible or unprecedented.</w:t>
      </w:r>
    </w:p>
    <w:p w14:paraId="3FB01C87" w14:textId="77777777" w:rsidR="00397BCE" w:rsidRPr="0011015D" w:rsidRDefault="000748BF" w:rsidP="00AD05C5">
      <w:pPr>
        <w:pStyle w:val="ScheduleText2"/>
      </w:pPr>
      <w:r w:rsidRPr="0011015D">
        <w:t>Other than in relation to Irremediable ESG Breaches, if there is an</w:t>
      </w:r>
      <w:r w:rsidRPr="0011015D">
        <w:t xml:space="preserve"> ESG Breach the Company shall have a defined period (as agreed by the Investors and not to exceed a maximum period of six months) in which to remedy the ESG Breach in the manner agreed between the Investors and the Company. </w:t>
      </w:r>
    </w:p>
    <w:p w14:paraId="3FB01C88" w14:textId="77777777" w:rsidR="00397BCE" w:rsidRDefault="000748BF" w:rsidP="00AD05C5">
      <w:pPr>
        <w:pStyle w:val="ScheduleText2"/>
      </w:pPr>
      <w:r w:rsidRPr="0011015D">
        <w:lastRenderedPageBreak/>
        <w:t>If the ESG Breach is remedied t</w:t>
      </w:r>
      <w:r w:rsidRPr="0011015D">
        <w:t xml:space="preserve">o the </w:t>
      </w:r>
      <w:r w:rsidRPr="00465916">
        <w:t>Investors’</w:t>
      </w:r>
      <w:r w:rsidRPr="0011015D">
        <w:t xml:space="preserve"> satisfaction within the defined time period or the same is waived by the Investors</w:t>
      </w:r>
      <w:r w:rsidRPr="00465916">
        <w:t>,</w:t>
      </w:r>
      <w:r w:rsidRPr="0011015D">
        <w:t xml:space="preserve"> then the ESG Breach shall lapse.   </w:t>
      </w:r>
      <w:r>
        <w:t>If the ESG Breach is not so remedied, this shall be an “</w:t>
      </w:r>
      <w:r w:rsidRPr="00AD05C5">
        <w:rPr>
          <w:b/>
        </w:rPr>
        <w:t>Unremedied ESG Breach</w:t>
      </w:r>
      <w:r>
        <w:t>”.</w:t>
      </w:r>
    </w:p>
    <w:p w14:paraId="3FB01C89" w14:textId="77777777" w:rsidR="00AD05C5" w:rsidRDefault="000748BF" w:rsidP="002426F4">
      <w:pPr>
        <w:pStyle w:val="draftingnote"/>
      </w:pPr>
      <w:r>
        <w:t>See note below on consequences</w:t>
      </w:r>
    </w:p>
    <w:p w14:paraId="3FB01C8A" w14:textId="77777777" w:rsidR="00AD05C5" w:rsidRPr="0011015D" w:rsidRDefault="000748BF" w:rsidP="00AD05C5">
      <w:pPr>
        <w:pStyle w:val="ScheduleText2"/>
      </w:pPr>
      <w:r>
        <w:t>If an Irr</w:t>
      </w:r>
      <w:r>
        <w:t xml:space="preserve">emediable ESG Breach or an Unremedied ESG Breach occurs: </w:t>
      </w:r>
      <w:r>
        <w:t>…</w:t>
      </w:r>
    </w:p>
    <w:p w14:paraId="3FB01C8B" w14:textId="77777777" w:rsidR="00397BCE" w:rsidRPr="0011015D" w:rsidRDefault="000748BF" w:rsidP="002426F4">
      <w:pPr>
        <w:pStyle w:val="Clausetext1"/>
      </w:pPr>
    </w:p>
    <w:p w14:paraId="3FB01C8C" w14:textId="77777777" w:rsidR="00FC607D" w:rsidRPr="0011015D" w:rsidRDefault="000748BF" w:rsidP="007D2DA5">
      <w:pPr>
        <w:pStyle w:val="Heading3"/>
        <w:rPr>
          <w:rFonts w:ascii="Georgia" w:hAnsi="Georgia"/>
        </w:rPr>
      </w:pPr>
      <w:bookmarkStart w:id="41" w:name="_Toc368064313"/>
      <w:bookmarkStart w:id="42" w:name="_Toc456289236"/>
      <w:bookmarkStart w:id="43" w:name="_Toc451759971"/>
      <w:bookmarkStart w:id="44" w:name="_Toc462908783"/>
      <w:r w:rsidRPr="0011015D">
        <w:rPr>
          <w:rFonts w:ascii="Georgia" w:hAnsi="Georgia"/>
        </w:rPr>
        <w:t xml:space="preserve">Note: Consequences of </w:t>
      </w:r>
      <w:r w:rsidRPr="0011015D">
        <w:rPr>
          <w:rFonts w:ascii="Georgia" w:hAnsi="Georgia"/>
        </w:rPr>
        <w:t xml:space="preserve">ESG </w:t>
      </w:r>
      <w:bookmarkEnd w:id="41"/>
      <w:r w:rsidRPr="0011015D">
        <w:rPr>
          <w:rFonts w:ascii="Georgia" w:hAnsi="Georgia"/>
        </w:rPr>
        <w:t>Breach</w:t>
      </w:r>
      <w:bookmarkEnd w:id="42"/>
      <w:bookmarkEnd w:id="43"/>
      <w:bookmarkEnd w:id="44"/>
    </w:p>
    <w:p w14:paraId="3FB01C8D" w14:textId="77777777" w:rsidR="00FC607D" w:rsidRPr="0011015D" w:rsidRDefault="000748BF" w:rsidP="00F562A9">
      <w:pPr>
        <w:spacing w:after="240"/>
        <w:jc w:val="both"/>
        <w:rPr>
          <w:rFonts w:ascii="Georgia" w:hAnsi="Georgia" w:cs="Arial"/>
          <w:color w:val="C00000"/>
          <w:szCs w:val="22"/>
        </w:rPr>
      </w:pPr>
      <w:r w:rsidRPr="0011015D">
        <w:rPr>
          <w:rFonts w:ascii="Georgia" w:hAnsi="Georgia" w:cs="Arial"/>
          <w:b/>
          <w:bCs/>
          <w:color w:val="C00000"/>
          <w:szCs w:val="22"/>
        </w:rPr>
        <w:t>Note:</w:t>
      </w:r>
      <w:r w:rsidRPr="0011015D">
        <w:rPr>
          <w:rFonts w:ascii="Georgia" w:hAnsi="Georgia" w:cs="Arial"/>
          <w:color w:val="C00000"/>
          <w:szCs w:val="22"/>
        </w:rPr>
        <w:t xml:space="preserve"> Practice varies in terms of </w:t>
      </w:r>
      <w:r w:rsidRPr="0011015D">
        <w:rPr>
          <w:rFonts w:ascii="Georgia" w:hAnsi="Georgia" w:cs="Arial"/>
          <w:color w:val="C00000"/>
          <w:szCs w:val="22"/>
        </w:rPr>
        <w:t xml:space="preserve">what happens following an </w:t>
      </w:r>
      <w:r>
        <w:rPr>
          <w:rFonts w:ascii="Georgia" w:hAnsi="Georgia" w:cs="Arial"/>
          <w:color w:val="C00000"/>
          <w:szCs w:val="22"/>
        </w:rPr>
        <w:t>irremediable/</w:t>
      </w:r>
      <w:r w:rsidRPr="0011015D">
        <w:rPr>
          <w:rFonts w:ascii="Georgia" w:hAnsi="Georgia" w:cs="Arial"/>
          <w:color w:val="C00000"/>
          <w:szCs w:val="22"/>
        </w:rPr>
        <w:t>unremedied ESG Breach</w:t>
      </w:r>
      <w:r w:rsidRPr="0011015D">
        <w:rPr>
          <w:rFonts w:ascii="Georgia" w:hAnsi="Georgia" w:cs="Arial"/>
          <w:color w:val="C00000"/>
          <w:szCs w:val="22"/>
        </w:rPr>
        <w:t xml:space="preserve">, depending on the commercial bargaining position, </w:t>
      </w:r>
      <w:r w:rsidRPr="0011015D">
        <w:rPr>
          <w:rFonts w:ascii="Georgia" w:hAnsi="Georgia" w:cs="Arial"/>
          <w:color w:val="C00000"/>
          <w:szCs w:val="22"/>
        </w:rPr>
        <w:t xml:space="preserve">the </w:t>
      </w:r>
      <w:r w:rsidRPr="0011015D">
        <w:rPr>
          <w:rFonts w:ascii="Georgia" w:hAnsi="Georgia" w:cs="Arial"/>
          <w:color w:val="C00000"/>
          <w:szCs w:val="22"/>
        </w:rPr>
        <w:t xml:space="preserve">nature of </w:t>
      </w:r>
      <w:r w:rsidRPr="00465916">
        <w:rPr>
          <w:rFonts w:ascii="Georgia" w:hAnsi="Georgia" w:cs="Arial"/>
          <w:color w:val="C00000"/>
          <w:szCs w:val="22"/>
        </w:rPr>
        <w:t xml:space="preserve">the </w:t>
      </w:r>
      <w:r w:rsidRPr="00465916">
        <w:rPr>
          <w:rFonts w:ascii="Georgia" w:hAnsi="Georgia" w:cs="Arial"/>
          <w:color w:val="C00000"/>
          <w:szCs w:val="22"/>
        </w:rPr>
        <w:t>Investors’</w:t>
      </w:r>
      <w:r w:rsidRPr="0011015D">
        <w:rPr>
          <w:rFonts w:ascii="Georgia" w:hAnsi="Georgia" w:cs="Arial"/>
          <w:color w:val="C00000"/>
          <w:szCs w:val="22"/>
        </w:rPr>
        <w:t xml:space="preserve"> instrument (debt, mezzanine or equity) and the broader deal context.  Examples might include:</w:t>
      </w:r>
    </w:p>
    <w:p w14:paraId="3FB01C8E" w14:textId="77777777" w:rsidR="00397BCE" w:rsidRPr="0011015D" w:rsidRDefault="000748BF" w:rsidP="00586D14">
      <w:pPr>
        <w:pStyle w:val="ListParagraph"/>
        <w:numPr>
          <w:ilvl w:val="0"/>
          <w:numId w:val="15"/>
        </w:numPr>
        <w:rPr>
          <w:rFonts w:ascii="Georgia" w:hAnsi="Georgia" w:cs="Arial"/>
          <w:color w:val="C00000"/>
          <w:sz w:val="22"/>
          <w:szCs w:val="22"/>
        </w:rPr>
      </w:pPr>
      <w:r w:rsidRPr="0011015D">
        <w:rPr>
          <w:rFonts w:ascii="Georgia" w:hAnsi="Georgia" w:cs="Arial"/>
          <w:color w:val="C00000"/>
          <w:sz w:val="22"/>
          <w:szCs w:val="22"/>
        </w:rPr>
        <w:t>a restriction on further drawdowns until the breach is remedied,</w:t>
      </w:r>
    </w:p>
    <w:p w14:paraId="3FB01C8F" w14:textId="77777777" w:rsidR="00FC607D" w:rsidRPr="0011015D" w:rsidRDefault="000748BF" w:rsidP="00586D14">
      <w:pPr>
        <w:pStyle w:val="ListParagraph"/>
        <w:numPr>
          <w:ilvl w:val="0"/>
          <w:numId w:val="15"/>
        </w:numPr>
        <w:rPr>
          <w:rFonts w:ascii="Georgia" w:hAnsi="Georgia" w:cs="Arial"/>
          <w:color w:val="C00000"/>
          <w:sz w:val="22"/>
          <w:szCs w:val="22"/>
        </w:rPr>
      </w:pPr>
      <w:r w:rsidRPr="0011015D">
        <w:rPr>
          <w:rFonts w:ascii="Georgia" w:hAnsi="Georgia" w:cs="Arial"/>
          <w:color w:val="C00000"/>
          <w:sz w:val="22"/>
          <w:szCs w:val="22"/>
        </w:rPr>
        <w:t xml:space="preserve">a put option on other parties to buy shares, </w:t>
      </w:r>
      <w:r w:rsidRPr="0011015D">
        <w:rPr>
          <w:rFonts w:ascii="Georgia" w:hAnsi="Georgia" w:cs="Arial"/>
          <w:color w:val="C00000"/>
          <w:sz w:val="22"/>
          <w:szCs w:val="22"/>
        </w:rPr>
        <w:t>although these frequently have enforcemen</w:t>
      </w:r>
      <w:r w:rsidRPr="0011015D">
        <w:rPr>
          <w:rFonts w:ascii="Georgia" w:hAnsi="Georgia" w:cs="Arial"/>
          <w:color w:val="C00000"/>
          <w:sz w:val="22"/>
          <w:szCs w:val="22"/>
        </w:rPr>
        <w:t>t challenges – particularly on portfolio company buybacks,</w:t>
      </w:r>
    </w:p>
    <w:p w14:paraId="3FB01C90" w14:textId="77777777" w:rsidR="003A0418" w:rsidRPr="0011015D" w:rsidRDefault="000748BF" w:rsidP="00586D14">
      <w:pPr>
        <w:pStyle w:val="ListParagraph"/>
        <w:numPr>
          <w:ilvl w:val="0"/>
          <w:numId w:val="15"/>
        </w:numPr>
        <w:rPr>
          <w:rFonts w:ascii="Georgia" w:hAnsi="Georgia" w:cs="Arial"/>
          <w:color w:val="C00000"/>
          <w:sz w:val="22"/>
          <w:szCs w:val="22"/>
        </w:rPr>
      </w:pPr>
      <w:r w:rsidRPr="0011015D">
        <w:rPr>
          <w:rFonts w:ascii="Georgia" w:hAnsi="Georgia" w:cs="Arial"/>
          <w:color w:val="C00000"/>
          <w:sz w:val="22"/>
          <w:szCs w:val="22"/>
        </w:rPr>
        <w:t>repayment of loan instruments</w:t>
      </w:r>
      <w:r w:rsidRPr="0011015D">
        <w:rPr>
          <w:rFonts w:ascii="Georgia" w:hAnsi="Georgia" w:cs="Arial"/>
          <w:color w:val="C00000"/>
          <w:sz w:val="22"/>
          <w:szCs w:val="22"/>
        </w:rPr>
        <w:t>,</w:t>
      </w:r>
    </w:p>
    <w:p w14:paraId="3FB01C91" w14:textId="77777777" w:rsidR="00FC607D" w:rsidRPr="0011015D" w:rsidRDefault="000748BF" w:rsidP="00586D14">
      <w:pPr>
        <w:pStyle w:val="ListParagraph"/>
        <w:numPr>
          <w:ilvl w:val="0"/>
          <w:numId w:val="15"/>
        </w:numPr>
        <w:rPr>
          <w:rFonts w:ascii="Georgia" w:hAnsi="Georgia" w:cs="Arial"/>
          <w:color w:val="C00000"/>
          <w:sz w:val="22"/>
          <w:szCs w:val="22"/>
        </w:rPr>
      </w:pPr>
      <w:r w:rsidRPr="0011015D">
        <w:rPr>
          <w:rFonts w:ascii="Georgia" w:hAnsi="Georgia" w:cs="Arial"/>
          <w:color w:val="C00000"/>
          <w:sz w:val="22"/>
          <w:szCs w:val="22"/>
        </w:rPr>
        <w:t>ability to implement exit rights sooner,</w:t>
      </w:r>
    </w:p>
    <w:p w14:paraId="3FB01C92" w14:textId="77777777" w:rsidR="00FC607D" w:rsidRPr="0011015D" w:rsidRDefault="000748BF" w:rsidP="00586D14">
      <w:pPr>
        <w:pStyle w:val="ListParagraph"/>
        <w:numPr>
          <w:ilvl w:val="0"/>
          <w:numId w:val="15"/>
        </w:numPr>
        <w:rPr>
          <w:rFonts w:ascii="Georgia" w:hAnsi="Georgia" w:cs="Arial"/>
          <w:color w:val="C00000"/>
          <w:sz w:val="22"/>
          <w:szCs w:val="22"/>
        </w:rPr>
      </w:pPr>
      <w:r w:rsidRPr="0011015D">
        <w:rPr>
          <w:rFonts w:ascii="Georgia" w:hAnsi="Georgia" w:cs="Arial"/>
          <w:color w:val="C00000"/>
          <w:sz w:val="22"/>
          <w:szCs w:val="22"/>
        </w:rPr>
        <w:t>ability to sell shares without transfer restrictions</w:t>
      </w:r>
      <w:r w:rsidRPr="0011015D">
        <w:rPr>
          <w:rFonts w:ascii="Georgia" w:hAnsi="Georgia" w:cs="Arial"/>
          <w:color w:val="C00000"/>
          <w:sz w:val="22"/>
          <w:szCs w:val="22"/>
        </w:rPr>
        <w:t xml:space="preserve"> (and this is included in the drafting in Part Two)</w:t>
      </w:r>
      <w:r w:rsidRPr="0011015D">
        <w:rPr>
          <w:rFonts w:ascii="Georgia" w:hAnsi="Georgia" w:cs="Arial"/>
          <w:color w:val="C00000"/>
          <w:sz w:val="22"/>
          <w:szCs w:val="22"/>
        </w:rPr>
        <w:t xml:space="preserve">, </w:t>
      </w:r>
    </w:p>
    <w:p w14:paraId="3FB01C93" w14:textId="77777777" w:rsidR="00FC607D" w:rsidRPr="0011015D" w:rsidRDefault="000748BF" w:rsidP="00586D14">
      <w:pPr>
        <w:pStyle w:val="ListParagraph"/>
        <w:numPr>
          <w:ilvl w:val="0"/>
          <w:numId w:val="15"/>
        </w:numPr>
        <w:rPr>
          <w:rFonts w:ascii="Georgia" w:hAnsi="Georgia" w:cs="Arial"/>
          <w:color w:val="C00000"/>
          <w:sz w:val="22"/>
          <w:szCs w:val="22"/>
        </w:rPr>
      </w:pPr>
      <w:r w:rsidRPr="0011015D">
        <w:rPr>
          <w:rFonts w:ascii="Georgia" w:hAnsi="Georgia" w:cs="Arial"/>
          <w:color w:val="C00000"/>
          <w:sz w:val="22"/>
          <w:szCs w:val="22"/>
        </w:rPr>
        <w:t xml:space="preserve">drag alongs, </w:t>
      </w:r>
    </w:p>
    <w:p w14:paraId="3FB01C94" w14:textId="77777777" w:rsidR="00FC607D" w:rsidRPr="0011015D" w:rsidRDefault="000748BF" w:rsidP="00586D14">
      <w:pPr>
        <w:pStyle w:val="ListParagraph"/>
        <w:numPr>
          <w:ilvl w:val="0"/>
          <w:numId w:val="15"/>
        </w:numPr>
        <w:rPr>
          <w:rFonts w:ascii="Georgia" w:hAnsi="Georgia" w:cs="Arial"/>
          <w:color w:val="C00000"/>
          <w:sz w:val="22"/>
          <w:szCs w:val="22"/>
        </w:rPr>
      </w:pPr>
      <w:r w:rsidRPr="0011015D">
        <w:rPr>
          <w:rFonts w:ascii="Georgia" w:hAnsi="Georgia" w:cs="Arial"/>
          <w:color w:val="C00000"/>
          <w:sz w:val="22"/>
          <w:szCs w:val="22"/>
        </w:rPr>
        <w:t xml:space="preserve">ability to appoint additional directors, </w:t>
      </w:r>
    </w:p>
    <w:p w14:paraId="3FB01C95" w14:textId="77777777" w:rsidR="00FC607D" w:rsidRPr="0011015D" w:rsidRDefault="000748BF" w:rsidP="00586D14">
      <w:pPr>
        <w:pStyle w:val="ListParagraph"/>
        <w:numPr>
          <w:ilvl w:val="0"/>
          <w:numId w:val="15"/>
        </w:numPr>
        <w:rPr>
          <w:rFonts w:ascii="Georgia" w:hAnsi="Georgia" w:cs="Arial"/>
          <w:color w:val="C00000"/>
          <w:sz w:val="22"/>
          <w:szCs w:val="22"/>
        </w:rPr>
      </w:pPr>
      <w:r w:rsidRPr="0011015D">
        <w:rPr>
          <w:rFonts w:ascii="Georgia" w:hAnsi="Georgia" w:cs="Arial"/>
          <w:color w:val="C00000"/>
          <w:sz w:val="22"/>
          <w:szCs w:val="22"/>
        </w:rPr>
        <w:t xml:space="preserve">ability to appoint advisers </w:t>
      </w:r>
      <w:r w:rsidRPr="0011015D">
        <w:rPr>
          <w:rFonts w:ascii="Georgia" w:hAnsi="Georgia" w:cs="Arial"/>
          <w:color w:val="C00000"/>
          <w:sz w:val="22"/>
          <w:szCs w:val="22"/>
        </w:rPr>
        <w:t xml:space="preserve">at the cost of the company (included above) </w:t>
      </w:r>
      <w:r w:rsidRPr="0011015D">
        <w:rPr>
          <w:rFonts w:ascii="Georgia" w:hAnsi="Georgia" w:cs="Arial"/>
          <w:color w:val="C00000"/>
          <w:sz w:val="22"/>
          <w:szCs w:val="22"/>
        </w:rPr>
        <w:t>and to require the board to adopt the recommendations</w:t>
      </w:r>
    </w:p>
    <w:p w14:paraId="3FB01C96" w14:textId="77777777" w:rsidR="00FC607D" w:rsidRPr="0011015D" w:rsidRDefault="000748BF" w:rsidP="00F562A9">
      <w:pPr>
        <w:spacing w:after="240"/>
        <w:jc w:val="both"/>
        <w:rPr>
          <w:rFonts w:ascii="Georgia" w:hAnsi="Georgia" w:cs="Arial"/>
          <w:b/>
          <w:bCs/>
          <w:color w:val="C00000"/>
          <w:szCs w:val="22"/>
        </w:rPr>
      </w:pPr>
      <w:r w:rsidRPr="00465916">
        <w:rPr>
          <w:rFonts w:ascii="Georgia" w:hAnsi="Georgia" w:cs="Arial"/>
          <w:color w:val="C00000"/>
          <w:szCs w:val="22"/>
        </w:rPr>
        <w:t>You should</w:t>
      </w:r>
      <w:r w:rsidRPr="0011015D">
        <w:rPr>
          <w:rFonts w:ascii="Georgia" w:hAnsi="Georgia" w:cs="Arial"/>
          <w:color w:val="C00000"/>
          <w:szCs w:val="22"/>
        </w:rPr>
        <w:t xml:space="preserve"> discuss </w:t>
      </w:r>
      <w:r w:rsidRPr="00465916">
        <w:rPr>
          <w:rFonts w:ascii="Georgia" w:hAnsi="Georgia" w:cs="Arial"/>
          <w:color w:val="C00000"/>
          <w:szCs w:val="22"/>
        </w:rPr>
        <w:t xml:space="preserve">options </w:t>
      </w:r>
      <w:r w:rsidRPr="0011015D">
        <w:rPr>
          <w:rFonts w:ascii="Georgia" w:hAnsi="Georgia" w:cs="Arial"/>
          <w:color w:val="C00000"/>
          <w:szCs w:val="22"/>
        </w:rPr>
        <w:t xml:space="preserve">with </w:t>
      </w:r>
      <w:r w:rsidRPr="00465916">
        <w:rPr>
          <w:rFonts w:ascii="Georgia" w:hAnsi="Georgia" w:cs="Arial"/>
          <w:color w:val="C00000"/>
          <w:szCs w:val="22"/>
        </w:rPr>
        <w:t>your legal advisers</w:t>
      </w:r>
      <w:r w:rsidRPr="0011015D">
        <w:rPr>
          <w:rFonts w:ascii="Georgia" w:hAnsi="Georgia" w:cs="Arial"/>
          <w:color w:val="C00000"/>
          <w:szCs w:val="22"/>
        </w:rPr>
        <w:t xml:space="preserve">.  </w:t>
      </w:r>
    </w:p>
    <w:p w14:paraId="3FB01C97" w14:textId="77777777" w:rsidR="00FC607D" w:rsidRPr="0011015D" w:rsidRDefault="000748BF" w:rsidP="00FC607D">
      <w:pPr>
        <w:spacing w:after="240"/>
        <w:rPr>
          <w:rFonts w:ascii="Georgia" w:hAnsi="Georgia" w:cs="Arial"/>
          <w:szCs w:val="22"/>
        </w:rPr>
      </w:pPr>
      <w:r w:rsidRPr="0011015D">
        <w:rPr>
          <w:rFonts w:ascii="Georgia" w:hAnsi="Georgia" w:cs="Arial"/>
          <w:szCs w:val="22"/>
        </w:rPr>
        <w:br w:type="page"/>
      </w:r>
    </w:p>
    <w:p w14:paraId="3FB01C98" w14:textId="77777777" w:rsidR="00633C01" w:rsidRPr="0011015D" w:rsidRDefault="000748BF" w:rsidP="00633C01">
      <w:pPr>
        <w:pStyle w:val="Heading2"/>
        <w:rPr>
          <w:rFonts w:ascii="Georgia" w:hAnsi="Georgia"/>
        </w:rPr>
      </w:pPr>
      <w:bookmarkStart w:id="45" w:name="_Toc368064314"/>
      <w:bookmarkStart w:id="46" w:name="_Toc456289237"/>
      <w:bookmarkStart w:id="47" w:name="_Toc451759972"/>
      <w:bookmarkStart w:id="48" w:name="_Toc462908784"/>
      <w:r w:rsidRPr="0011015D">
        <w:rPr>
          <w:rFonts w:ascii="Georgia" w:hAnsi="Georgia"/>
        </w:rPr>
        <w:lastRenderedPageBreak/>
        <w:t xml:space="preserve">ESG </w:t>
      </w:r>
      <w:r w:rsidRPr="0011015D">
        <w:rPr>
          <w:rFonts w:ascii="Georgia" w:hAnsi="Georgia"/>
        </w:rPr>
        <w:t>s</w:t>
      </w:r>
      <w:r w:rsidRPr="0011015D">
        <w:rPr>
          <w:rFonts w:ascii="Georgia" w:hAnsi="Georgia"/>
        </w:rPr>
        <w:t>chedule</w:t>
      </w:r>
      <w:bookmarkEnd w:id="45"/>
      <w:bookmarkEnd w:id="46"/>
      <w:bookmarkEnd w:id="47"/>
      <w:bookmarkEnd w:id="48"/>
    </w:p>
    <w:p w14:paraId="3FB01C99" w14:textId="77777777" w:rsidR="00FC607D" w:rsidRPr="0011015D" w:rsidRDefault="000748BF" w:rsidP="00FC607D">
      <w:pPr>
        <w:pStyle w:val="BodyText"/>
        <w:spacing w:after="240"/>
        <w:jc w:val="center"/>
        <w:rPr>
          <w:rFonts w:ascii="Georgia" w:hAnsi="Georgia" w:cs="Arial"/>
          <w:b/>
          <w:bCs/>
          <w:szCs w:val="22"/>
        </w:rPr>
      </w:pPr>
      <w:r w:rsidRPr="0011015D">
        <w:rPr>
          <w:rFonts w:ascii="Georgia" w:hAnsi="Georgia" w:cs="Arial"/>
          <w:b/>
          <w:bCs/>
          <w:szCs w:val="22"/>
        </w:rPr>
        <w:t>SCHEDULE [X]</w:t>
      </w:r>
    </w:p>
    <w:p w14:paraId="3FB01C9A" w14:textId="77777777" w:rsidR="00FC607D" w:rsidRPr="0011015D" w:rsidRDefault="000748BF" w:rsidP="00FC607D">
      <w:pPr>
        <w:pStyle w:val="BodyText"/>
        <w:spacing w:after="240"/>
        <w:jc w:val="center"/>
        <w:rPr>
          <w:rFonts w:ascii="Georgia" w:hAnsi="Georgia" w:cs="Arial"/>
          <w:b/>
          <w:bCs/>
          <w:szCs w:val="22"/>
        </w:rPr>
      </w:pPr>
      <w:r w:rsidRPr="0011015D">
        <w:rPr>
          <w:rFonts w:ascii="Georgia" w:hAnsi="Georgia" w:cs="Arial"/>
          <w:b/>
          <w:bCs/>
          <w:szCs w:val="22"/>
        </w:rPr>
        <w:t>E</w:t>
      </w:r>
      <w:r w:rsidRPr="0011015D">
        <w:rPr>
          <w:rFonts w:ascii="Georgia" w:hAnsi="Georgia" w:cs="Arial"/>
          <w:b/>
          <w:bCs/>
          <w:szCs w:val="22"/>
        </w:rPr>
        <w:t>nvironmental, social and governance</w:t>
      </w:r>
    </w:p>
    <w:p w14:paraId="3FB01C9B" w14:textId="77777777" w:rsidR="00FC607D" w:rsidRPr="0011015D" w:rsidRDefault="000748BF" w:rsidP="00633C01">
      <w:pPr>
        <w:pStyle w:val="Heading3"/>
        <w:rPr>
          <w:rFonts w:ascii="Georgia" w:hAnsi="Georgia"/>
        </w:rPr>
      </w:pPr>
      <w:bookmarkStart w:id="49" w:name="_Toc368064315"/>
      <w:bookmarkStart w:id="50" w:name="_Toc456289238"/>
      <w:bookmarkStart w:id="51" w:name="_Toc451759973"/>
      <w:bookmarkStart w:id="52" w:name="_Toc462908785"/>
      <w:r w:rsidRPr="0011015D">
        <w:rPr>
          <w:rFonts w:ascii="Georgia" w:hAnsi="Georgia"/>
        </w:rPr>
        <w:t>Part A - ESG Requirements</w:t>
      </w:r>
      <w:bookmarkEnd w:id="49"/>
      <w:bookmarkEnd w:id="50"/>
      <w:bookmarkEnd w:id="51"/>
      <w:bookmarkEnd w:id="52"/>
    </w:p>
    <w:p w14:paraId="3FB01C9C" w14:textId="77777777" w:rsidR="00FC607D" w:rsidRPr="0011015D" w:rsidRDefault="000748BF" w:rsidP="0011015D">
      <w:pPr>
        <w:pStyle w:val="draftingnote"/>
      </w:pPr>
      <w:r w:rsidRPr="0011015D">
        <w:t xml:space="preserve">Discuss with </w:t>
      </w:r>
      <w:r w:rsidRPr="00465916">
        <w:t>your environmental/social</w:t>
      </w:r>
      <w:r w:rsidRPr="0011015D">
        <w:t xml:space="preserve"> team </w:t>
      </w:r>
      <w:r w:rsidRPr="00465916">
        <w:t xml:space="preserve">the </w:t>
      </w:r>
      <w:r w:rsidRPr="0011015D">
        <w:t xml:space="preserve">relevance of </w:t>
      </w:r>
      <w:r w:rsidRPr="00465916">
        <w:t>each item</w:t>
      </w:r>
      <w:r w:rsidRPr="0011015D">
        <w:t xml:space="preserve"> to</w:t>
      </w:r>
      <w:r w:rsidRPr="00465916">
        <w:t xml:space="preserve"> </w:t>
      </w:r>
      <w:r w:rsidRPr="00465916">
        <w:t>the</w:t>
      </w:r>
      <w:r w:rsidRPr="0011015D">
        <w:t xml:space="preserve"> business in question</w:t>
      </w:r>
    </w:p>
    <w:p w14:paraId="3FB01C9D" w14:textId="77777777" w:rsidR="00FC607D" w:rsidRPr="002426F4" w:rsidRDefault="000748BF" w:rsidP="00524BD5">
      <w:pPr>
        <w:pStyle w:val="ScheduleText1"/>
        <w:numPr>
          <w:ilvl w:val="0"/>
          <w:numId w:val="42"/>
        </w:numPr>
      </w:pPr>
      <w:r w:rsidRPr="002426F4">
        <w:t>Compliance with law</w:t>
      </w:r>
    </w:p>
    <w:p w14:paraId="3FB01C9E" w14:textId="77777777" w:rsidR="00FC607D" w:rsidRPr="0011015D" w:rsidRDefault="000748BF" w:rsidP="0011015D">
      <w:pPr>
        <w:pStyle w:val="Clausetext2"/>
      </w:pPr>
      <w:r w:rsidRPr="0011015D">
        <w:t>Each Group Company must comply with ESG Laws.</w:t>
      </w:r>
    </w:p>
    <w:p w14:paraId="3FB01C9F" w14:textId="77777777" w:rsidR="00FC607D" w:rsidRPr="0011015D" w:rsidRDefault="000748BF" w:rsidP="00524BD5">
      <w:pPr>
        <w:pStyle w:val="ScheduleText1"/>
      </w:pPr>
      <w:r w:rsidRPr="0011015D">
        <w:t>Working conditions and labour</w:t>
      </w:r>
      <w:r w:rsidRPr="0011015D">
        <w:t xml:space="preserve"> rights</w:t>
      </w:r>
    </w:p>
    <w:p w14:paraId="3FB01CA0" w14:textId="77777777" w:rsidR="00FC607D" w:rsidRPr="0011015D" w:rsidRDefault="000748BF" w:rsidP="0011015D">
      <w:pPr>
        <w:pStyle w:val="Clausetext2"/>
      </w:pPr>
      <w:r w:rsidRPr="0011015D">
        <w:t>Each Group Company must:</w:t>
      </w:r>
    </w:p>
    <w:p w14:paraId="3FB01CA1" w14:textId="77777777" w:rsidR="00FC607D" w:rsidRPr="0011015D" w:rsidRDefault="000748BF" w:rsidP="0011015D">
      <w:pPr>
        <w:pStyle w:val="ScheduleText2"/>
      </w:pPr>
      <w:r w:rsidRPr="0011015D">
        <w:t>not</w:t>
      </w:r>
      <w:bookmarkStart w:id="53" w:name="_DV_M1069"/>
      <w:bookmarkEnd w:id="53"/>
      <w:r w:rsidRPr="0011015D">
        <w:t xml:space="preserve"> employ or make use of forced labour</w:t>
      </w:r>
      <w:bookmarkStart w:id="54" w:name="_DV_M1070"/>
      <w:bookmarkEnd w:id="54"/>
      <w:r w:rsidRPr="0011015D">
        <w:t xml:space="preserve"> in accordance with ILO Convention No. 29 (Forced Labour) and ILO Convention No. 105 (Abolition of Forced Labour);</w:t>
      </w:r>
    </w:p>
    <w:p w14:paraId="3FB01CA2" w14:textId="77777777" w:rsidR="00FC607D" w:rsidRPr="0011015D" w:rsidRDefault="000748BF" w:rsidP="0011015D">
      <w:pPr>
        <w:pStyle w:val="ScheduleText2"/>
      </w:pPr>
      <w:r w:rsidRPr="0011015D">
        <w:t>not employ or make use of child labour in accordance with ILO Convent</w:t>
      </w:r>
      <w:r w:rsidRPr="0011015D">
        <w:t>ion No. 138 (Minimum Age) and ILO Convention No. 182 (Worst Forms of Child Labour);</w:t>
      </w:r>
    </w:p>
    <w:p w14:paraId="3FB01CA3" w14:textId="77777777" w:rsidR="00FC607D" w:rsidRPr="0011015D" w:rsidRDefault="000748BF" w:rsidP="0011015D">
      <w:pPr>
        <w:pStyle w:val="ScheduleText2"/>
      </w:pPr>
      <w:r w:rsidRPr="0011015D">
        <w:t xml:space="preserve">pay wages which meet or exceed industry or legal national minima; </w:t>
      </w:r>
      <w:bookmarkStart w:id="55" w:name="_DV_M1071"/>
      <w:bookmarkStart w:id="56" w:name="_DV_M1072"/>
      <w:bookmarkEnd w:id="55"/>
      <w:bookmarkEnd w:id="56"/>
    </w:p>
    <w:p w14:paraId="3FB01CA4" w14:textId="77777777" w:rsidR="00FC607D" w:rsidRPr="0011015D" w:rsidRDefault="000748BF" w:rsidP="0011015D">
      <w:pPr>
        <w:pStyle w:val="ScheduleText2"/>
      </w:pPr>
      <w:r w:rsidRPr="0011015D">
        <w:t>not discriminate in terms of recruitment, progression, terms and conditions of work and representation, o</w:t>
      </w:r>
      <w:r w:rsidRPr="0011015D">
        <w:t>n the basis of personal characteristics unrelated to inherent job requirements, including gender, race, colour, caste, disability, political opinion, sexual orientation, age, religion, social or ethnic origin, marital status, membership of workers’ organis</w:t>
      </w:r>
      <w:r w:rsidRPr="0011015D">
        <w:t xml:space="preserve">ations, legal migrants, or HIV status (unless positive discrimination is permitted by law and is intended to address a historical imbalance); </w:t>
      </w:r>
    </w:p>
    <w:p w14:paraId="3FB01CA5" w14:textId="77777777" w:rsidR="00FC607D" w:rsidRPr="0011015D" w:rsidRDefault="000748BF" w:rsidP="0011015D">
      <w:pPr>
        <w:pStyle w:val="ScheduleText2"/>
      </w:pPr>
      <w:bookmarkStart w:id="57" w:name="_DV_M1073"/>
      <w:bookmarkEnd w:id="57"/>
      <w:r w:rsidRPr="0011015D">
        <w:t>adopt an open attitude towards workers’ organisations and respect the right of all workers to join or form worker</w:t>
      </w:r>
      <w:r w:rsidRPr="0011015D">
        <w:t>s’ organisations of their own choosing, to bargain collectively and to carry out their representative functions in the workplace in accordance with ILO Convention No. 87 (Freedom of Association and Right to Organise) and ILO Convention No. 98 (Right to Org</w:t>
      </w:r>
      <w:r w:rsidRPr="0011015D">
        <w:t>anise and Collective Bargaining);</w:t>
      </w:r>
    </w:p>
    <w:p w14:paraId="3FB01CA6" w14:textId="77777777" w:rsidR="00FC607D" w:rsidRPr="0011015D" w:rsidRDefault="000748BF" w:rsidP="0011015D">
      <w:pPr>
        <w:pStyle w:val="ScheduleText2"/>
      </w:pPr>
      <w:r w:rsidRPr="0011015D">
        <w:t>provide reasonable working conditions including a safe and healthy work environment, working hours that are not excessive in accordance with ILO Convention No. 1 (Hours of Work (Industry)) and clearly documented terms of e</w:t>
      </w:r>
      <w:r w:rsidRPr="0011015D">
        <w:t>mployment, re</w:t>
      </w:r>
      <w:r w:rsidRPr="0011015D">
        <w:rPr>
          <w:color w:val="000000"/>
        </w:rPr>
        <w:t xml:space="preserve">specting any collective bargaining agreements that are in place or (where these do not exist or do not address working conditions) or conditions established, by collective agreement or otherwise, for work in the trade or industry concerned in </w:t>
      </w:r>
      <w:r w:rsidRPr="0011015D">
        <w:rPr>
          <w:color w:val="000000"/>
        </w:rPr>
        <w:t>the area where the work is carried out</w:t>
      </w:r>
      <w:r w:rsidRPr="0011015D">
        <w:t>;</w:t>
      </w:r>
    </w:p>
    <w:p w14:paraId="3FB01CA7" w14:textId="77777777" w:rsidR="00FC607D" w:rsidRPr="0011015D" w:rsidRDefault="000748BF" w:rsidP="0011015D">
      <w:pPr>
        <w:pStyle w:val="ScheduleText2"/>
      </w:pPr>
      <w:r w:rsidRPr="0011015D">
        <w:t>provide an appropriate grievance mechanism that is available to all workers and where appropriate other stakeholders, and which includes grievances brought by those affected by the operation of the Group; and</w:t>
      </w:r>
    </w:p>
    <w:p w14:paraId="3FB01CA8" w14:textId="77777777" w:rsidR="00FC607D" w:rsidRPr="0011015D" w:rsidRDefault="000748BF" w:rsidP="0011015D">
      <w:pPr>
        <w:pStyle w:val="ScheduleText2"/>
      </w:pPr>
      <w:r w:rsidRPr="0011015D">
        <w:lastRenderedPageBreak/>
        <w:t>implement policies and procedures for, and encourage, the reporting of wrongdoing and misconduct by staff, employees and contractors in their dealings with each other or with third parties that includes protection for the reporter and appropriate disciplin</w:t>
      </w:r>
      <w:r w:rsidRPr="0011015D">
        <w:t xml:space="preserve">ary action for anyone found to harass the reporter. </w:t>
      </w:r>
    </w:p>
    <w:p w14:paraId="3FB01CA9" w14:textId="77777777" w:rsidR="00FC607D" w:rsidRPr="0011015D" w:rsidRDefault="000748BF" w:rsidP="00524BD5">
      <w:pPr>
        <w:pStyle w:val="ScheduleText1"/>
      </w:pPr>
      <w:r>
        <w:t>Restrictions on activities</w:t>
      </w:r>
    </w:p>
    <w:p w14:paraId="3FB01CAA" w14:textId="77777777" w:rsidR="001D6976" w:rsidRPr="0011015D" w:rsidRDefault="000748BF" w:rsidP="0011015D">
      <w:pPr>
        <w:pStyle w:val="draftingnote"/>
      </w:pPr>
      <w:r w:rsidRPr="0011015D">
        <w:t xml:space="preserve">Delete </w:t>
      </w:r>
      <w:r w:rsidRPr="0011015D">
        <w:t>‘</w:t>
      </w:r>
      <w:r w:rsidRPr="0011015D">
        <w:t>[or finance]</w:t>
      </w:r>
      <w:r w:rsidRPr="0011015D">
        <w:t>’</w:t>
      </w:r>
      <w:r w:rsidRPr="0011015D">
        <w:t xml:space="preserve"> for financial institutions – the provisions in </w:t>
      </w:r>
      <w:r w:rsidRPr="0011015D">
        <w:fldChar w:fldCharType="begin"/>
      </w:r>
      <w:r w:rsidRPr="0011015D">
        <w:instrText xml:space="preserve"> REF _Ref378251031 \r \h </w:instrText>
      </w:r>
      <w:r>
        <w:instrText xml:space="preserve"> \* MERGEFORMAT </w:instrText>
      </w:r>
      <w:r w:rsidRPr="0011015D">
        <w:fldChar w:fldCharType="separate"/>
      </w:r>
      <w:r>
        <w:t>3.2</w:t>
      </w:r>
      <w:r w:rsidRPr="0011015D">
        <w:fldChar w:fldCharType="end"/>
      </w:r>
      <w:r w:rsidRPr="0011015D">
        <w:t xml:space="preserve"> </w:t>
      </w:r>
      <w:r>
        <w:t xml:space="preserve">to </w:t>
      </w:r>
      <w:r>
        <w:fldChar w:fldCharType="begin"/>
      </w:r>
      <w:r>
        <w:instrText xml:space="preserve"> REF _Ref451761609 \r \h </w:instrText>
      </w:r>
      <w:r>
        <w:fldChar w:fldCharType="separate"/>
      </w:r>
      <w:r>
        <w:t>3.5</w:t>
      </w:r>
      <w:r>
        <w:fldChar w:fldCharType="end"/>
      </w:r>
      <w:r>
        <w:t xml:space="preserve"> </w:t>
      </w:r>
      <w:r w:rsidRPr="0011015D">
        <w:t>are designed to present a reasonable solution for financial institutions in terms of securi</w:t>
      </w:r>
      <w:r w:rsidRPr="0011015D">
        <w:t>ng compliance by Clients</w:t>
      </w:r>
    </w:p>
    <w:p w14:paraId="3FB01CAB" w14:textId="77777777" w:rsidR="00FC607D" w:rsidRPr="0011015D" w:rsidRDefault="000748BF" w:rsidP="0011015D">
      <w:pPr>
        <w:pStyle w:val="ScheduleText2"/>
      </w:pPr>
      <w:r w:rsidRPr="0011015D">
        <w:t xml:space="preserve">The Company must not (and the Company must ensure that no other member of the Group will) carry </w:t>
      </w:r>
      <w:r w:rsidRPr="0011015D">
        <w:t xml:space="preserve">on </w:t>
      </w:r>
      <w:r w:rsidRPr="0011015D">
        <w:t>[</w:t>
      </w:r>
      <w:r w:rsidRPr="0011015D">
        <w:t>or finance</w:t>
      </w:r>
      <w:r w:rsidRPr="0011015D">
        <w:t xml:space="preserve"> </w:t>
      </w:r>
      <w:r w:rsidRPr="0011015D">
        <w:t>]</w:t>
      </w:r>
      <w:r w:rsidRPr="0011015D">
        <w:t xml:space="preserve">any </w:t>
      </w:r>
      <w:r w:rsidRPr="0011015D">
        <w:t xml:space="preserve">activity on the </w:t>
      </w:r>
      <w:r w:rsidRPr="0011015D">
        <w:t>Exclu</w:t>
      </w:r>
      <w:r w:rsidRPr="0011015D">
        <w:t>sion List</w:t>
      </w:r>
      <w:r w:rsidRPr="0011015D">
        <w:t xml:space="preserve">. </w:t>
      </w:r>
    </w:p>
    <w:p w14:paraId="3FB01CAC" w14:textId="77777777" w:rsidR="00FC607D" w:rsidRPr="0011015D" w:rsidRDefault="000748BF" w:rsidP="0011015D">
      <w:pPr>
        <w:pStyle w:val="draftingnote"/>
      </w:pPr>
      <w:r w:rsidRPr="0011015D">
        <w:t>Financial institutions only</w:t>
      </w:r>
    </w:p>
    <w:p w14:paraId="3FB01CAD" w14:textId="77777777" w:rsidR="001D6976" w:rsidRPr="002426F4" w:rsidRDefault="000748BF" w:rsidP="0011015D">
      <w:pPr>
        <w:pStyle w:val="ScheduleText2"/>
        <w:rPr>
          <w:i/>
        </w:rPr>
      </w:pPr>
      <w:bookmarkStart w:id="58" w:name="_Ref378251031"/>
      <w:r w:rsidRPr="002426F4">
        <w:rPr>
          <w:i/>
        </w:rPr>
        <w:t>[No Group Company shall make any loan or other facilit</w:t>
      </w:r>
      <w:r w:rsidRPr="002426F4">
        <w:rPr>
          <w:i/>
        </w:rPr>
        <w:t>y to any Client that is engaged in any activity on the Exclusion List.</w:t>
      </w:r>
      <w:bookmarkEnd w:id="58"/>
    </w:p>
    <w:p w14:paraId="3FB01CAE" w14:textId="77777777" w:rsidR="001D6976" w:rsidRPr="002426F4" w:rsidRDefault="000748BF" w:rsidP="0011015D">
      <w:pPr>
        <w:pStyle w:val="ScheduleText2"/>
        <w:rPr>
          <w:i/>
        </w:rPr>
      </w:pPr>
      <w:bookmarkStart w:id="59" w:name="_Ref378251033"/>
      <w:r w:rsidRPr="002426F4">
        <w:rPr>
          <w:i/>
        </w:rPr>
        <w:t>Each Group Company shall have a covenant in any loan</w:t>
      </w:r>
      <w:r w:rsidRPr="002426F4">
        <w:rPr>
          <w:i/>
        </w:rPr>
        <w:t xml:space="preserve"> or facility </w:t>
      </w:r>
      <w:r w:rsidRPr="002426F4">
        <w:rPr>
          <w:i/>
        </w:rPr>
        <w:t xml:space="preserve">document entered into after the date of this Agreement prohibiting any Client from engaging in any </w:t>
      </w:r>
      <w:r w:rsidRPr="002426F4">
        <w:rPr>
          <w:i/>
        </w:rPr>
        <w:t>activity on the Exclu</w:t>
      </w:r>
      <w:r w:rsidRPr="002426F4">
        <w:rPr>
          <w:i/>
        </w:rPr>
        <w:t>sion List</w:t>
      </w:r>
      <w:r w:rsidRPr="002426F4">
        <w:rPr>
          <w:i/>
        </w:rPr>
        <w:t>. If a Group Company becomes aware that any Client has breached the covenant, the Group Company shall:</w:t>
      </w:r>
      <w:bookmarkEnd w:id="59"/>
    </w:p>
    <w:p w14:paraId="3FB01CAF" w14:textId="77777777" w:rsidR="001D6976" w:rsidRPr="002426F4" w:rsidRDefault="000748BF" w:rsidP="007F7BED">
      <w:pPr>
        <w:pStyle w:val="ScheduleText2"/>
        <w:numPr>
          <w:ilvl w:val="2"/>
          <w:numId w:val="17"/>
        </w:numPr>
        <w:rPr>
          <w:i/>
        </w:rPr>
      </w:pPr>
      <w:r w:rsidRPr="002426F4">
        <w:rPr>
          <w:i/>
        </w:rPr>
        <w:t>promptly notify the Investors of the breach and require the relevant Client to undertake as appropriate, in the Group Company’s reasonable judge</w:t>
      </w:r>
      <w:r w:rsidRPr="002426F4">
        <w:rPr>
          <w:i/>
        </w:rPr>
        <w:t>ment, corrective measures to remedy the breach; and</w:t>
      </w:r>
    </w:p>
    <w:p w14:paraId="3FB01CB0" w14:textId="77777777" w:rsidR="001D6976" w:rsidRPr="002426F4" w:rsidRDefault="000748BF" w:rsidP="007F7BED">
      <w:pPr>
        <w:pStyle w:val="ScheduleText2"/>
        <w:numPr>
          <w:ilvl w:val="2"/>
          <w:numId w:val="17"/>
        </w:numPr>
        <w:rPr>
          <w:i/>
        </w:rPr>
      </w:pPr>
      <w:bookmarkStart w:id="60" w:name="_Ref451761609"/>
      <w:r w:rsidRPr="002426F4">
        <w:rPr>
          <w:i/>
        </w:rPr>
        <w:t>if the relevant Client does not implement the corrective measures, use commercially reasonable efforts to accelerate or dispose of the Client’s loan on commercially reasonable terms, taking into account l</w:t>
      </w:r>
      <w:r w:rsidRPr="002426F4">
        <w:rPr>
          <w:i/>
        </w:rPr>
        <w:t xml:space="preserve">iquidity, market constraints </w:t>
      </w:r>
      <w:r>
        <w:rPr>
          <w:i/>
        </w:rPr>
        <w:t>and fiduciary responsibilities</w:t>
      </w:r>
      <w:r w:rsidRPr="00465916">
        <w:t>.]</w:t>
      </w:r>
      <w:bookmarkEnd w:id="60"/>
    </w:p>
    <w:p w14:paraId="3FB01CB1" w14:textId="77777777" w:rsidR="00762C30" w:rsidRDefault="000748BF" w:rsidP="00762C30">
      <w:pPr>
        <w:pStyle w:val="draftingnote"/>
      </w:pPr>
      <w:r>
        <w:t>Financial institutions only.  There may be a defined expression for the investment proceeds</w:t>
      </w:r>
    </w:p>
    <w:p w14:paraId="3FB01CB2" w14:textId="77777777" w:rsidR="00762C30" w:rsidRDefault="000748BF" w:rsidP="00762C30">
      <w:pPr>
        <w:pStyle w:val="ScheduleText2"/>
        <w:numPr>
          <w:ilvl w:val="1"/>
          <w:numId w:val="47"/>
        </w:numPr>
        <w:spacing w:line="240" w:lineRule="auto"/>
        <w:rPr>
          <w:i/>
          <w:iCs/>
          <w:sz w:val="20"/>
        </w:rPr>
      </w:pPr>
      <w:r>
        <w:rPr>
          <w:i/>
          <w:iCs/>
        </w:rPr>
        <w:t>No Group Company shall make the [proceeds of the Investors’ investment in the Company] available to an</w:t>
      </w:r>
      <w:r>
        <w:rPr>
          <w:i/>
          <w:iCs/>
        </w:rPr>
        <w:t>y Client to finance (or re-finance) any Coal Power Generation:</w:t>
      </w:r>
    </w:p>
    <w:p w14:paraId="3FB01CB3" w14:textId="77777777" w:rsidR="00762C30" w:rsidRDefault="000748BF" w:rsidP="00762C30">
      <w:pPr>
        <w:pStyle w:val="ScheduleText2"/>
        <w:numPr>
          <w:ilvl w:val="2"/>
          <w:numId w:val="47"/>
        </w:numPr>
        <w:tabs>
          <w:tab w:val="num" w:pos="2160"/>
        </w:tabs>
        <w:spacing w:line="240" w:lineRule="auto"/>
        <w:rPr>
          <w:i/>
          <w:iCs/>
        </w:rPr>
      </w:pPr>
      <w:r>
        <w:rPr>
          <w:i/>
          <w:iCs/>
        </w:rPr>
        <w:t>outside of the Permitted Countries; or</w:t>
      </w:r>
    </w:p>
    <w:p w14:paraId="3FB01CB4" w14:textId="77777777" w:rsidR="00762C30" w:rsidRDefault="000748BF" w:rsidP="00762C30">
      <w:pPr>
        <w:pStyle w:val="ScheduleText2"/>
        <w:numPr>
          <w:ilvl w:val="2"/>
          <w:numId w:val="47"/>
        </w:numPr>
        <w:tabs>
          <w:tab w:val="num" w:pos="2160"/>
        </w:tabs>
        <w:spacing w:line="240" w:lineRule="auto"/>
        <w:rPr>
          <w:i/>
          <w:iCs/>
        </w:rPr>
      </w:pPr>
      <w:r>
        <w:rPr>
          <w:i/>
          <w:iCs/>
        </w:rPr>
        <w:t xml:space="preserve">inside the Permitted Countries if the aggregate funding of Clients engaged in Coal Power Generation represents (or would, following that financing, represent) more than 10% of the Group’s underlying portfolio volume.  </w:t>
      </w:r>
    </w:p>
    <w:p w14:paraId="3FB01CB5" w14:textId="77777777" w:rsidR="00762C30" w:rsidRDefault="000748BF" w:rsidP="00762C30">
      <w:pPr>
        <w:pStyle w:val="Clausetext2"/>
        <w:rPr>
          <w:i/>
          <w:iCs/>
        </w:rPr>
      </w:pPr>
      <w:r>
        <w:rPr>
          <w:i/>
          <w:iCs/>
        </w:rPr>
        <w:t>For the purpose of this clause:</w:t>
      </w:r>
    </w:p>
    <w:p w14:paraId="3FB01CB6" w14:textId="77777777" w:rsidR="00762C30" w:rsidRDefault="000748BF" w:rsidP="00762C30">
      <w:pPr>
        <w:pStyle w:val="Clausetext2"/>
        <w:rPr>
          <w:i/>
          <w:iCs/>
        </w:rPr>
      </w:pPr>
      <w:r>
        <w:rPr>
          <w:i/>
          <w:iCs/>
        </w:rPr>
        <w:t>“</w:t>
      </w:r>
      <w:r>
        <w:rPr>
          <w:b/>
          <w:bCs/>
          <w:i/>
          <w:iCs/>
        </w:rPr>
        <w:t>Perm</w:t>
      </w:r>
      <w:r>
        <w:rPr>
          <w:b/>
          <w:bCs/>
          <w:i/>
          <w:iCs/>
        </w:rPr>
        <w:t>itted Countries</w:t>
      </w:r>
      <w:r>
        <w:rPr>
          <w:i/>
          <w:iCs/>
        </w:rPr>
        <w:t xml:space="preserve">” means any country eligible for support from the International Development Association (see </w:t>
      </w:r>
      <w:hyperlink r:id="rId16" w:history="1">
        <w:r>
          <w:rPr>
            <w:rStyle w:val="Hyperlink"/>
            <w:i/>
            <w:iCs/>
          </w:rPr>
          <w:t>http://ida.worldbank.org/about/borrowing-countries</w:t>
        </w:r>
      </w:hyperlink>
      <w:r>
        <w:rPr>
          <w:i/>
          <w:iCs/>
        </w:rPr>
        <w:t>); and</w:t>
      </w:r>
    </w:p>
    <w:p w14:paraId="3FB01CB7" w14:textId="77777777" w:rsidR="00762C30" w:rsidRDefault="000748BF" w:rsidP="00762C30">
      <w:pPr>
        <w:pStyle w:val="Clausetext2"/>
        <w:rPr>
          <w:i/>
          <w:iCs/>
        </w:rPr>
      </w:pPr>
      <w:r>
        <w:rPr>
          <w:i/>
          <w:iCs/>
        </w:rPr>
        <w:t>"</w:t>
      </w:r>
      <w:r>
        <w:rPr>
          <w:b/>
          <w:bCs/>
          <w:i/>
          <w:iCs/>
        </w:rPr>
        <w:t>Coal Power Generation</w:t>
      </w:r>
      <w:r>
        <w:rPr>
          <w:i/>
          <w:iCs/>
        </w:rPr>
        <w:t xml:space="preserve">" </w:t>
      </w:r>
      <w:r>
        <w:rPr>
          <w:i/>
          <w:iCs/>
        </w:rPr>
        <w:t>means the production of electricity (for public energy supply or captive energy production in industrial or commercial activities) using coal as the source of power, including dual-power plants/projects where coal is one of the energy sources.]</w:t>
      </w:r>
    </w:p>
    <w:p w14:paraId="3FB01CB8" w14:textId="77777777" w:rsidR="004E136A" w:rsidRPr="0011015D" w:rsidRDefault="000748BF" w:rsidP="0011015D">
      <w:pPr>
        <w:pStyle w:val="ScheduleText2"/>
      </w:pPr>
      <w:r w:rsidRPr="0011015D">
        <w:lastRenderedPageBreak/>
        <w:t>No Group Co</w:t>
      </w:r>
      <w:r w:rsidRPr="0011015D">
        <w:t xml:space="preserve">mpany may be formed without the Investors’ prior written consent form in any </w:t>
      </w:r>
      <w:r w:rsidRPr="0011015D">
        <w:t>jurisdiction</w:t>
      </w:r>
      <w:r w:rsidRPr="0011015D">
        <w:t>:</w:t>
      </w:r>
    </w:p>
    <w:p w14:paraId="3FB01CB9" w14:textId="77777777" w:rsidR="004E136A" w:rsidRPr="0011015D" w:rsidRDefault="000748BF" w:rsidP="00703980">
      <w:pPr>
        <w:pStyle w:val="ScheduleText3"/>
        <w:numPr>
          <w:ilvl w:val="2"/>
          <w:numId w:val="45"/>
        </w:numPr>
      </w:pPr>
      <w:r w:rsidRPr="0011015D">
        <w:t xml:space="preserve">who has not undergone a peer review as part of the </w:t>
      </w:r>
      <w:r w:rsidRPr="0011015D">
        <w:t xml:space="preserve">OECD’s </w:t>
      </w:r>
      <w:r w:rsidRPr="0011015D">
        <w:t xml:space="preserve">Global Forum on </w:t>
      </w:r>
      <w:r w:rsidRPr="00F82629">
        <w:t>Transparency</w:t>
      </w:r>
      <w:r w:rsidRPr="0011015D">
        <w:t xml:space="preserve"> and Exchange of Information for Tax Purposes (the “</w:t>
      </w:r>
      <w:r w:rsidRPr="00703980">
        <w:rPr>
          <w:b/>
        </w:rPr>
        <w:t>Global Forum</w:t>
      </w:r>
      <w:r w:rsidRPr="0011015D">
        <w:t xml:space="preserve">”) or </w:t>
      </w:r>
    </w:p>
    <w:p w14:paraId="3FB01CBA" w14:textId="77777777" w:rsidR="004E136A" w:rsidRPr="0011015D" w:rsidRDefault="000748BF" w:rsidP="00F82629">
      <w:pPr>
        <w:pStyle w:val="ScheduleText3"/>
      </w:pPr>
      <w:r w:rsidRPr="0011015D">
        <w:t>followin</w:t>
      </w:r>
      <w:r w:rsidRPr="0011015D">
        <w:t>g a phase 1 review has not been permitted by the Global Forum to proceed to a phase 2 review; or</w:t>
      </w:r>
    </w:p>
    <w:p w14:paraId="3FB01CBB" w14:textId="77777777" w:rsidR="001D6976" w:rsidRPr="0011015D" w:rsidRDefault="000748BF" w:rsidP="00F82629">
      <w:pPr>
        <w:pStyle w:val="ScheduleText3"/>
      </w:pPr>
      <w:r w:rsidRPr="0011015D">
        <w:t xml:space="preserve">has undergone a phase 2 review and has not received an overall rating from the Global Forum of ‘compliant’ or ‘largely compliant’ </w:t>
      </w:r>
    </w:p>
    <w:p w14:paraId="3FB01CBC" w14:textId="77777777" w:rsidR="00FC607D" w:rsidRPr="0011015D" w:rsidRDefault="000748BF" w:rsidP="00524BD5">
      <w:pPr>
        <w:pStyle w:val="ScheduleText1"/>
      </w:pPr>
      <w:r w:rsidRPr="0011015D">
        <w:t>Activities with greater envi</w:t>
      </w:r>
      <w:r w:rsidRPr="0011015D">
        <w:t>ronmental or social impact</w:t>
      </w:r>
    </w:p>
    <w:p w14:paraId="3FB01CBD" w14:textId="77777777" w:rsidR="00FC607D" w:rsidRPr="0011015D" w:rsidRDefault="000748BF" w:rsidP="0011015D">
      <w:pPr>
        <w:pStyle w:val="ScheduleText2"/>
      </w:pPr>
      <w:r w:rsidRPr="0011015D">
        <w:t xml:space="preserve">If the </w:t>
      </w:r>
      <w:r w:rsidRPr="0011015D">
        <w:rPr>
          <w:kern w:val="10"/>
        </w:rPr>
        <w:t>activities</w:t>
      </w:r>
      <w:r w:rsidRPr="0011015D">
        <w:t xml:space="preserve"> of a Group Company involve or could be reasonably expected to involve:</w:t>
      </w:r>
    </w:p>
    <w:p w14:paraId="3FB01CBE" w14:textId="77777777" w:rsidR="00FC607D" w:rsidRPr="0011015D" w:rsidRDefault="000748BF" w:rsidP="00703980">
      <w:pPr>
        <w:pStyle w:val="ScheduleText3"/>
        <w:numPr>
          <w:ilvl w:val="2"/>
          <w:numId w:val="46"/>
        </w:numPr>
      </w:pPr>
      <w:r w:rsidRPr="0011015D">
        <w:t xml:space="preserve">significant air emissions (including of greenhouse gases), use of water or generation of liquid effluents, generation of hazardous or other </w:t>
      </w:r>
      <w:r w:rsidRPr="0011015D">
        <w:t>solid wastes or resource use inefficiencies;</w:t>
      </w:r>
    </w:p>
    <w:p w14:paraId="3FB01CBF" w14:textId="77777777" w:rsidR="00FC607D" w:rsidRPr="0011015D" w:rsidRDefault="000748BF" w:rsidP="00F82629">
      <w:pPr>
        <w:pStyle w:val="ScheduleText3"/>
      </w:pPr>
      <w:r w:rsidRPr="0011015D">
        <w:t>transactions that generate adverse community health and safety impacts;</w:t>
      </w:r>
    </w:p>
    <w:p w14:paraId="3FB01CC0" w14:textId="77777777" w:rsidR="00FC607D" w:rsidRPr="0011015D" w:rsidRDefault="000748BF" w:rsidP="00F82629">
      <w:pPr>
        <w:pStyle w:val="ScheduleText3"/>
      </w:pPr>
      <w:r w:rsidRPr="0011015D">
        <w:t>the acquisition and/or use of land that will lead to the economic or physical</w:t>
      </w:r>
      <w:r w:rsidRPr="0011015D">
        <w:t xml:space="preserve"> displacement of communities; </w:t>
      </w:r>
    </w:p>
    <w:p w14:paraId="3FB01CC1" w14:textId="77777777" w:rsidR="00FC607D" w:rsidRPr="0011015D" w:rsidRDefault="000748BF" w:rsidP="00F82629">
      <w:pPr>
        <w:pStyle w:val="ScheduleText3"/>
      </w:pPr>
      <w:r w:rsidRPr="0011015D">
        <w:t>significant negative impacts on</w:t>
      </w:r>
      <w:r w:rsidRPr="0011015D">
        <w:t xml:space="preserve"> biodiversity, habitat or ecosystem services,</w:t>
      </w:r>
      <w:r>
        <w:t xml:space="preserve"> including without limitation (i</w:t>
      </w:r>
      <w:r w:rsidRPr="0011015D">
        <w:t>) provisioning services such as food or timber, (</w:t>
      </w:r>
      <w:r>
        <w:t>ii</w:t>
      </w:r>
      <w:r w:rsidRPr="0011015D">
        <w:t>) regulating services such as water flow regulation, (</w:t>
      </w:r>
      <w:r>
        <w:t>iii</w:t>
      </w:r>
      <w:r w:rsidRPr="0011015D">
        <w:t>) cultural services such as sacred sites and (</w:t>
      </w:r>
      <w:r>
        <w:t>iv</w:t>
      </w:r>
      <w:r w:rsidRPr="0011015D">
        <w:t>) supporting services s</w:t>
      </w:r>
      <w:r w:rsidRPr="0011015D">
        <w:t>uch as soil formation;</w:t>
      </w:r>
    </w:p>
    <w:p w14:paraId="3FB01CC2" w14:textId="77777777" w:rsidR="00FC607D" w:rsidRPr="0011015D" w:rsidRDefault="000748BF" w:rsidP="00F82629">
      <w:pPr>
        <w:pStyle w:val="ScheduleText3"/>
      </w:pPr>
      <w:r w:rsidRPr="0011015D">
        <w:t>impacts to indigenous peoples (or other marginalised and vulnerable groups);</w:t>
      </w:r>
    </w:p>
    <w:p w14:paraId="3FB01CC3" w14:textId="77777777" w:rsidR="00FC607D" w:rsidRPr="0011015D" w:rsidRDefault="000748BF" w:rsidP="00F82629">
      <w:pPr>
        <w:pStyle w:val="ScheduleText3"/>
      </w:pPr>
      <w:r w:rsidRPr="0011015D">
        <w:t>impacts to cultural heritage; or</w:t>
      </w:r>
    </w:p>
    <w:p w14:paraId="3FB01CC4" w14:textId="77777777" w:rsidR="00FC607D" w:rsidRPr="0011015D" w:rsidRDefault="000748BF" w:rsidP="00F82629">
      <w:pPr>
        <w:pStyle w:val="ScheduleText3"/>
      </w:pPr>
      <w:r w:rsidRPr="0011015D">
        <w:t>other significant negative environmental or social impacts</w:t>
      </w:r>
    </w:p>
    <w:p w14:paraId="3FB01CC5" w14:textId="77777777" w:rsidR="00FC607D" w:rsidRPr="0011015D" w:rsidRDefault="000748BF" w:rsidP="0011015D">
      <w:pPr>
        <w:pStyle w:val="Clausetext2"/>
      </w:pPr>
      <w:r w:rsidRPr="0011015D">
        <w:t>then (i) the relevant IFC Performance Standards should be implem</w:t>
      </w:r>
      <w:r w:rsidRPr="0011015D">
        <w:t>ented, (ii) an appropriate stakeholder engagement plan should be developed in line with the applicable IFC Performance Standard, and (iii) an environmental and social impact assessment and/or issue specific action plan (e.g. a resettlement action plan) sho</w:t>
      </w:r>
      <w:r w:rsidRPr="0011015D">
        <w:t>uld be developed for any such activities.</w:t>
      </w:r>
    </w:p>
    <w:p w14:paraId="3FB01CC6" w14:textId="77777777" w:rsidR="00FC607D" w:rsidRPr="0011015D" w:rsidRDefault="000748BF" w:rsidP="0011015D">
      <w:pPr>
        <w:pStyle w:val="ScheduleText2"/>
      </w:pPr>
      <w:r w:rsidRPr="0011015D">
        <w:t>If the activities of a Group Company could reasonably be expected to involve:</w:t>
      </w:r>
    </w:p>
    <w:p w14:paraId="3FB01CC7" w14:textId="77777777" w:rsidR="00FC607D" w:rsidRPr="0011015D" w:rsidRDefault="000748BF" w:rsidP="00586D14">
      <w:pPr>
        <w:pStyle w:val="ScheduleText3"/>
        <w:numPr>
          <w:ilvl w:val="2"/>
          <w:numId w:val="19"/>
        </w:numPr>
      </w:pPr>
      <w:r w:rsidRPr="0011015D">
        <w:t>significant risks to the health and safety of workers or to other stakeholders, including affected communities, the Group Company must a</w:t>
      </w:r>
      <w:r w:rsidRPr="0011015D">
        <w:t>ssess and mitigate those risks, for example through a Health and Safety audit and action plan, in line with the relevant IFC Performance Standards;</w:t>
      </w:r>
    </w:p>
    <w:p w14:paraId="3FB01CC8" w14:textId="77777777" w:rsidR="00FC607D" w:rsidRPr="0011015D" w:rsidRDefault="000748BF" w:rsidP="00F82629">
      <w:pPr>
        <w:pStyle w:val="ScheduleText3"/>
      </w:pPr>
      <w:r w:rsidRPr="0011015D">
        <w:lastRenderedPageBreak/>
        <w:t xml:space="preserve">coal-fired power, the Investors must be satisfied that the use of coal is justified by the impact of the </w:t>
      </w:r>
      <w:r w:rsidRPr="0011015D">
        <w:t>proposed activity by the Group Company and that no practicable alternatives exist;</w:t>
      </w:r>
    </w:p>
    <w:p w14:paraId="3FB01CC9" w14:textId="77777777" w:rsidR="00FC607D" w:rsidRPr="0011015D" w:rsidRDefault="000748BF" w:rsidP="00F82629">
      <w:pPr>
        <w:pStyle w:val="ScheduleText3"/>
      </w:pPr>
      <w:r w:rsidRPr="0011015D">
        <w:t xml:space="preserve">significant emissions of greenhouse gases, ensure that adequate measures to reduce emissions to the extent possible and mitigate adverse climate impacts are implemented and </w:t>
      </w:r>
      <w:r w:rsidRPr="0011015D">
        <w:t>that the Company reports to the Investors on its emissions[.][; and]</w:t>
      </w:r>
    </w:p>
    <w:p w14:paraId="3FB01CCA" w14:textId="77777777" w:rsidR="00FC607D" w:rsidRPr="0011015D" w:rsidRDefault="000748BF" w:rsidP="0011015D">
      <w:pPr>
        <w:pStyle w:val="draftingnote"/>
      </w:pPr>
      <w:r w:rsidRPr="0011015D">
        <w:t>Financial institutions only</w:t>
      </w:r>
    </w:p>
    <w:p w14:paraId="3FB01CCB" w14:textId="77777777" w:rsidR="00FC607D" w:rsidRPr="002426F4" w:rsidRDefault="000748BF" w:rsidP="00F82629">
      <w:pPr>
        <w:pStyle w:val="ScheduleText3"/>
        <w:rPr>
          <w:i/>
        </w:rPr>
      </w:pPr>
      <w:r>
        <w:rPr>
          <w:i/>
        </w:rPr>
        <w:t>[</w:t>
      </w:r>
      <w:r w:rsidRPr="002426F4">
        <w:rPr>
          <w:i/>
        </w:rPr>
        <w:t>microfinance, the Group Company must endorse and apply the SMART Campaign Client Protection Principles (see www.smartcampaign.org).</w:t>
      </w:r>
      <w:r>
        <w:rPr>
          <w:i/>
        </w:rPr>
        <w:t>]</w:t>
      </w:r>
    </w:p>
    <w:p w14:paraId="3FB01CCC" w14:textId="77777777" w:rsidR="00FC607D" w:rsidRPr="0011015D" w:rsidRDefault="000748BF" w:rsidP="00524BD5">
      <w:pPr>
        <w:pStyle w:val="ScheduleText1"/>
      </w:pPr>
      <w:bookmarkStart w:id="61" w:name="_Ref373331688"/>
      <w:r w:rsidRPr="0011015D">
        <w:t xml:space="preserve">ESG </w:t>
      </w:r>
      <w:r w:rsidRPr="00524BD5">
        <w:t>Management</w:t>
      </w:r>
      <w:r w:rsidRPr="0011015D">
        <w:t xml:space="preserve"> System</w:t>
      </w:r>
      <w:bookmarkEnd w:id="61"/>
    </w:p>
    <w:p w14:paraId="3FB01CCD" w14:textId="77777777" w:rsidR="00FC607D" w:rsidRPr="0011015D" w:rsidRDefault="000748BF" w:rsidP="0011015D">
      <w:pPr>
        <w:pStyle w:val="ScheduleText2"/>
      </w:pPr>
      <w:r w:rsidRPr="0011015D">
        <w:t>The</w:t>
      </w:r>
      <w:r w:rsidRPr="0011015D">
        <w:t xml:space="preserve"> Company must appoint senior operational officer(s) or other appropriate personnel satisfactory to the Investors to be responsible for the implementation, operation and maintenance of the ESG Management System and must notify the Investors in writing immed</w:t>
      </w:r>
      <w:r w:rsidRPr="0011015D">
        <w:t>iately of the removal or replacement (for whatever reason) of that person.  Different officers or personnel may be responsible for different aspects of the ESG Management System.</w:t>
      </w:r>
    </w:p>
    <w:p w14:paraId="3FB01CCE" w14:textId="77777777" w:rsidR="00FC607D" w:rsidRPr="0011015D" w:rsidRDefault="000748BF" w:rsidP="0011015D">
      <w:pPr>
        <w:pStyle w:val="ScheduleText2"/>
      </w:pPr>
      <w:r w:rsidRPr="0011015D">
        <w:t>The Company must implement, maintain and continuously improve the ESG Managem</w:t>
      </w:r>
      <w:r w:rsidRPr="0011015D">
        <w:t>ent System, including deploying employees of sufficient expertise and seniority as is necessary for this purpose.</w:t>
      </w:r>
    </w:p>
    <w:p w14:paraId="3FB01CCF" w14:textId="77777777" w:rsidR="00FC607D" w:rsidRPr="0011015D" w:rsidRDefault="000748BF" w:rsidP="0011015D">
      <w:pPr>
        <w:pStyle w:val="ScheduleText2"/>
      </w:pPr>
      <w:r w:rsidRPr="0011015D">
        <w:t>The ESG Management System must be supervised by [the Board][the ESG Committee][a named director satisfactory to the Investors</w:t>
      </w:r>
      <w:r w:rsidRPr="00465916">
        <w:t>][</w:t>
      </w:r>
      <w:r w:rsidRPr="00465916">
        <w:t>a director</w:t>
      </w:r>
      <w:r w:rsidRPr="0011015D">
        <w:t xml:space="preserve"> appo</w:t>
      </w:r>
      <w:r w:rsidRPr="0011015D">
        <w:t xml:space="preserve">inted by </w:t>
      </w:r>
      <w:r w:rsidRPr="00465916">
        <w:t>the Investors</w:t>
      </w:r>
      <w:r w:rsidRPr="0011015D">
        <w:t>].  Supervision of the ESG Management System must include:</w:t>
      </w:r>
    </w:p>
    <w:p w14:paraId="3FB01CD0" w14:textId="77777777" w:rsidR="00FC607D" w:rsidRPr="0011015D" w:rsidRDefault="000748BF" w:rsidP="00586D14">
      <w:pPr>
        <w:pStyle w:val="ScheduleText3"/>
        <w:numPr>
          <w:ilvl w:val="2"/>
          <w:numId w:val="20"/>
        </w:numPr>
      </w:pPr>
      <w:r w:rsidRPr="0011015D">
        <w:t>overseeing implementation of the ESG Action Plan;</w:t>
      </w:r>
    </w:p>
    <w:p w14:paraId="3FB01CD1" w14:textId="77777777" w:rsidR="00FC607D" w:rsidRPr="0011015D" w:rsidRDefault="000748BF" w:rsidP="00F82629">
      <w:pPr>
        <w:pStyle w:val="ScheduleText3"/>
      </w:pPr>
      <w:r w:rsidRPr="0011015D">
        <w:t>quarterly reports to the Board on any material issue that has arisen as a result of the operation of the ESG Management Syste</w:t>
      </w:r>
      <w:r w:rsidRPr="0011015D">
        <w:t xml:space="preserve">m since the last meeting and an explanation as to how </w:t>
      </w:r>
      <w:r w:rsidRPr="0011015D">
        <w:t xml:space="preserve">it is </w:t>
      </w:r>
      <w:r w:rsidRPr="0011015D">
        <w:t>being dealt with;</w:t>
      </w:r>
    </w:p>
    <w:p w14:paraId="3FB01CD2" w14:textId="77777777" w:rsidR="00FC607D" w:rsidRPr="0011015D" w:rsidRDefault="000748BF" w:rsidP="00F82629">
      <w:pPr>
        <w:pStyle w:val="ScheduleText3"/>
      </w:pPr>
      <w:r w:rsidRPr="0011015D">
        <w:t>ensuring that the Group has the systems and resources (including employees of sufficient expertise and seniority) to understand and determine the applicability of the ESG Require</w:t>
      </w:r>
      <w:r w:rsidRPr="0011015D">
        <w:t>ments to the Group and monitor the underlying ESG Laws, IFC Performance Standards and ILO Conventions for applicable changes;</w:t>
      </w:r>
    </w:p>
    <w:p w14:paraId="3FB01CD3" w14:textId="77777777" w:rsidR="00FC607D" w:rsidRPr="0011015D" w:rsidRDefault="000748BF" w:rsidP="00F82629">
      <w:pPr>
        <w:pStyle w:val="ScheduleText3"/>
      </w:pPr>
      <w:r w:rsidRPr="0011015D">
        <w:t>examining policies and procedures relating to the ESG Requirements and their implementation and making recommendations for their i</w:t>
      </w:r>
      <w:r w:rsidRPr="0011015D">
        <w:t>mprovement to the Board;</w:t>
      </w:r>
    </w:p>
    <w:p w14:paraId="3FB01CD4" w14:textId="77777777" w:rsidR="00FC607D" w:rsidRPr="0011015D" w:rsidRDefault="000748BF" w:rsidP="00F82629">
      <w:pPr>
        <w:pStyle w:val="ScheduleText3"/>
      </w:pPr>
      <w:r w:rsidRPr="0011015D">
        <w:t>considering [quarterly] reports from management on the implementation of the ESG Action Plan;</w:t>
      </w:r>
    </w:p>
    <w:p w14:paraId="3FB01CD5" w14:textId="77777777" w:rsidR="00FC607D" w:rsidRPr="0011015D" w:rsidRDefault="000748BF" w:rsidP="00F82629">
      <w:pPr>
        <w:pStyle w:val="ScheduleText3"/>
      </w:pPr>
      <w:r w:rsidRPr="0011015D">
        <w:lastRenderedPageBreak/>
        <w:t>reviewing and approving the report to the Board and the Investors required under clause [2(a)];</w:t>
      </w:r>
    </w:p>
    <w:p w14:paraId="3FB01CD6" w14:textId="77777777" w:rsidR="00FC607D" w:rsidRPr="0011015D" w:rsidRDefault="000748BF" w:rsidP="00F82629">
      <w:pPr>
        <w:pStyle w:val="ScheduleText3"/>
      </w:pPr>
      <w:r w:rsidRPr="0011015D">
        <w:t>considering ESG assessment reports on new</w:t>
      </w:r>
      <w:r w:rsidRPr="0011015D">
        <w:t xml:space="preserve"> projects or acquisitions [and veto [transaction][project][contract] bids] where [the reports advise that][in the Investors’ reasonable opinion] there is a material risk that the transaction, if consummated, would cause the Group to be in breach of the ESG</w:t>
      </w:r>
      <w:r w:rsidRPr="0011015D">
        <w:t xml:space="preserve"> Requirements]; [and]</w:t>
      </w:r>
    </w:p>
    <w:p w14:paraId="3FB01CD7" w14:textId="77777777" w:rsidR="00FC607D" w:rsidRPr="0011015D" w:rsidRDefault="000748BF" w:rsidP="00F82629">
      <w:pPr>
        <w:pStyle w:val="ScheduleText3"/>
      </w:pPr>
      <w:r w:rsidRPr="0011015D">
        <w:t>appointing consultants to investigate alleged breaches of the ESG Requirements or the related policies and procedures of the Group[.][; and]</w:t>
      </w:r>
    </w:p>
    <w:p w14:paraId="3FB01CD8" w14:textId="77777777" w:rsidR="00FC607D" w:rsidRPr="0011015D" w:rsidRDefault="000748BF" w:rsidP="0011015D">
      <w:pPr>
        <w:pStyle w:val="draftingnote"/>
      </w:pPr>
      <w:r w:rsidRPr="0011015D">
        <w:t>Financial institutions only</w:t>
      </w:r>
    </w:p>
    <w:p w14:paraId="3FB01CD9" w14:textId="77777777" w:rsidR="00FC607D" w:rsidRPr="0011015D" w:rsidRDefault="000748BF" w:rsidP="00F82629">
      <w:pPr>
        <w:pStyle w:val="ScheduleText3"/>
      </w:pPr>
      <w:r w:rsidRPr="0011015D">
        <w:t>monitoring and seeking to secure the compliance of Clients with t</w:t>
      </w:r>
      <w:r w:rsidRPr="0011015D">
        <w:t xml:space="preserve">he </w:t>
      </w:r>
      <w:r>
        <w:t xml:space="preserve">applicable Client </w:t>
      </w:r>
      <w:r w:rsidRPr="0011015D">
        <w:t xml:space="preserve">ESG </w:t>
      </w:r>
      <w:r>
        <w:t xml:space="preserve">Standards </w:t>
      </w:r>
      <w:r w:rsidRPr="0011015D">
        <w:t xml:space="preserve">in accordance with Part E of </w:t>
      </w:r>
      <w:r w:rsidRPr="0011015D">
        <w:t xml:space="preserve">this </w:t>
      </w:r>
      <w:r w:rsidRPr="0011015D">
        <w:t>Schedule [X].</w:t>
      </w:r>
    </w:p>
    <w:p w14:paraId="3FB01CDA" w14:textId="77777777" w:rsidR="003A2D6F" w:rsidRPr="0011015D" w:rsidRDefault="000748BF" w:rsidP="00524BD5">
      <w:pPr>
        <w:pStyle w:val="ScheduleText1"/>
      </w:pPr>
      <w:r w:rsidRPr="0011015D">
        <w:t>Opportunities for environmental or social improvement</w:t>
      </w:r>
    </w:p>
    <w:p w14:paraId="3FB01CDB" w14:textId="77777777" w:rsidR="003A2D6F" w:rsidRPr="0011015D" w:rsidRDefault="000748BF" w:rsidP="0011015D">
      <w:pPr>
        <w:pStyle w:val="Clausetext2"/>
      </w:pPr>
      <w:r w:rsidRPr="0011015D">
        <w:t xml:space="preserve">Each Group Company should consider the potential for positive environmental and </w:t>
      </w:r>
      <w:r w:rsidRPr="0011015D">
        <w:rPr>
          <w:rFonts w:cs="Arial"/>
          <w:kern w:val="2"/>
          <w:szCs w:val="22"/>
        </w:rPr>
        <w:t>social</w:t>
      </w:r>
      <w:r w:rsidRPr="0011015D">
        <w:t xml:space="preserve"> impact from their business activ</w:t>
      </w:r>
      <w:r w:rsidRPr="0011015D">
        <w:t>ities and how these could also benefit the business, for example through cost savings, reduced staff turnover or improved stakeholder relations. These should include adopting, developing, offering or marketing:</w:t>
      </w:r>
    </w:p>
    <w:p w14:paraId="3FB01CDC" w14:textId="77777777" w:rsidR="003A2D6F" w:rsidRPr="0011015D" w:rsidRDefault="000748BF" w:rsidP="00586D14">
      <w:pPr>
        <w:pStyle w:val="ScheduleText3"/>
        <w:numPr>
          <w:ilvl w:val="2"/>
          <w:numId w:val="22"/>
        </w:numPr>
      </w:pPr>
      <w:r w:rsidRPr="0011015D">
        <w:t>products, services, skills or employment oppo</w:t>
      </w:r>
      <w:r w:rsidRPr="0011015D">
        <w:t xml:space="preserve">rtunities that could benefit community stakeholders; </w:t>
      </w:r>
    </w:p>
    <w:p w14:paraId="3FB01CDD" w14:textId="77777777" w:rsidR="003A2D6F" w:rsidRPr="0011015D" w:rsidRDefault="000748BF" w:rsidP="00F82629">
      <w:pPr>
        <w:pStyle w:val="ScheduleText3"/>
      </w:pPr>
      <w:r w:rsidRPr="0011015D">
        <w:t>a living wage that is sufficient to meet workers’ needs; and</w:t>
      </w:r>
    </w:p>
    <w:p w14:paraId="3FB01CDE" w14:textId="77777777" w:rsidR="003A2D6F" w:rsidRPr="0011015D" w:rsidRDefault="000748BF" w:rsidP="00F82629">
      <w:pPr>
        <w:pStyle w:val="ScheduleText3"/>
      </w:pPr>
      <w:r w:rsidRPr="0011015D">
        <w:t>resource efficient, greenhouse gas reducing or low carbon technologies or working practices.</w:t>
      </w:r>
    </w:p>
    <w:p w14:paraId="3FB01CDF" w14:textId="77777777" w:rsidR="006B7DB0" w:rsidRPr="0011015D" w:rsidRDefault="000748BF" w:rsidP="00524BD5">
      <w:pPr>
        <w:pStyle w:val="ScheduleText1"/>
      </w:pPr>
      <w:r w:rsidRPr="0011015D">
        <w:t xml:space="preserve">Business integrity  </w:t>
      </w:r>
    </w:p>
    <w:p w14:paraId="3FB01CE0" w14:textId="77777777" w:rsidR="006B7DB0" w:rsidRPr="0011015D" w:rsidRDefault="000748BF" w:rsidP="0011015D">
      <w:pPr>
        <w:pStyle w:val="ScheduleText2"/>
      </w:pPr>
      <w:r w:rsidRPr="0011015D">
        <w:t>The Company must not commit</w:t>
      </w:r>
      <w:r w:rsidRPr="0011015D">
        <w:t xml:space="preserve"> (and the Company must ensure that no other Group Company or any agent or delegate commits) any Financial Malpractice or direct or knowingly permit any person to commit any Financial Malpractice on its behalf.</w:t>
      </w:r>
    </w:p>
    <w:p w14:paraId="3FB01CE1" w14:textId="77777777" w:rsidR="006B7DB0" w:rsidRPr="0011015D" w:rsidRDefault="000748BF" w:rsidP="0011015D">
      <w:pPr>
        <w:pStyle w:val="ScheduleText2"/>
      </w:pPr>
      <w:r w:rsidRPr="0011015D">
        <w:t>The Company must procure that the Group:</w:t>
      </w:r>
    </w:p>
    <w:p w14:paraId="3FB01CE2" w14:textId="77777777" w:rsidR="006B7DB0" w:rsidRPr="00F82629" w:rsidRDefault="000748BF" w:rsidP="00586D14">
      <w:pPr>
        <w:pStyle w:val="ScheduleText3"/>
        <w:numPr>
          <w:ilvl w:val="2"/>
          <w:numId w:val="21"/>
        </w:numPr>
        <w:rPr>
          <w:w w:val="0"/>
        </w:rPr>
      </w:pPr>
      <w:r w:rsidRPr="00F82629">
        <w:rPr>
          <w:w w:val="0"/>
        </w:rPr>
        <w:t>uphol</w:t>
      </w:r>
      <w:r w:rsidRPr="00F82629">
        <w:rPr>
          <w:w w:val="0"/>
        </w:rPr>
        <w:t>ds high standards of business integrity and honesty;</w:t>
      </w:r>
    </w:p>
    <w:p w14:paraId="3FB01CE3" w14:textId="77777777" w:rsidR="006B7DB0" w:rsidRPr="0011015D" w:rsidRDefault="000748BF" w:rsidP="00F82629">
      <w:pPr>
        <w:pStyle w:val="ScheduleText3"/>
      </w:pPr>
      <w:r w:rsidRPr="0011015D">
        <w:rPr>
          <w:w w:val="0"/>
        </w:rPr>
        <w:t xml:space="preserve">adopts and implements policies and practical procedures to prevent extortion, fraud, bribery, corruption and financial crime in accordance with </w:t>
      </w:r>
      <w:r>
        <w:rPr>
          <w:w w:val="0"/>
        </w:rPr>
        <w:t>Business Integrity Laws</w:t>
      </w:r>
      <w:r w:rsidRPr="0011015D">
        <w:rPr>
          <w:w w:val="0"/>
        </w:rPr>
        <w:t xml:space="preserve"> and international best practice, in</w:t>
      </w:r>
      <w:r w:rsidRPr="0011015D">
        <w:rPr>
          <w:w w:val="0"/>
        </w:rPr>
        <w:t>cluding anti-corruption and anti-money laundering best practice</w:t>
      </w:r>
      <w:r w:rsidRPr="0011015D">
        <w:t>, including:</w:t>
      </w:r>
    </w:p>
    <w:p w14:paraId="3FB01CE4" w14:textId="77777777" w:rsidR="006B7DB0" w:rsidRPr="0011015D" w:rsidRDefault="000748BF" w:rsidP="0011015D">
      <w:pPr>
        <w:pStyle w:val="draftingnote"/>
      </w:pPr>
      <w:r w:rsidRPr="0011015D">
        <w:lastRenderedPageBreak/>
        <w:t>Adoption of (or amendment of existing) anti-bribery and whistle-blowing policies should be a CP if there are no adequate procedures in place already</w:t>
      </w:r>
    </w:p>
    <w:p w14:paraId="3FB01CE5" w14:textId="77777777" w:rsidR="006B7DB0" w:rsidRPr="0011015D" w:rsidRDefault="000748BF" w:rsidP="002426F4">
      <w:pPr>
        <w:pStyle w:val="ScheduleText4"/>
        <w:rPr>
          <w:w w:val="0"/>
        </w:rPr>
      </w:pPr>
      <w:r w:rsidRPr="0011015D">
        <w:t>the adoption and periodic revie</w:t>
      </w:r>
      <w:r w:rsidRPr="0011015D">
        <w:t>w of a code of ethics which must incorporate a whistleblower policy, the anti-bribery and corruption policy (including explanations and procedures) in the Agreed Form and other appropriate business integrity and legal compliance policies to ensure complian</w:t>
      </w:r>
      <w:r w:rsidRPr="0011015D">
        <w:t xml:space="preserve">ce with applicable Business Integrity Laws (including prohibiting employees and contractors acting on the Group Company’s behalf from </w:t>
      </w:r>
      <w:r w:rsidRPr="0011015D">
        <w:rPr>
          <w:w w:val="0"/>
        </w:rPr>
        <w:t>promising, making or receiving gifts of substance in the course of business</w:t>
      </w:r>
      <w:r w:rsidRPr="0011015D">
        <w:t xml:space="preserve"> or </w:t>
      </w:r>
      <w:r w:rsidRPr="0011015D">
        <w:rPr>
          <w:w w:val="0"/>
        </w:rPr>
        <w:t>making of payments as improper inducement t</w:t>
      </w:r>
      <w:r w:rsidRPr="0011015D">
        <w:rPr>
          <w:w w:val="0"/>
        </w:rPr>
        <w:t>o confer preferential treatment);</w:t>
      </w:r>
    </w:p>
    <w:p w14:paraId="3FB01CE6" w14:textId="77777777" w:rsidR="006B7DB0" w:rsidRPr="0011015D" w:rsidRDefault="000748BF" w:rsidP="002426F4">
      <w:pPr>
        <w:pStyle w:val="ScheduleText4"/>
      </w:pPr>
      <w:r w:rsidRPr="0011015D">
        <w:t xml:space="preserve">employee training programmes; and </w:t>
      </w:r>
    </w:p>
    <w:p w14:paraId="3FB01CE7" w14:textId="77777777" w:rsidR="006B7DB0" w:rsidRPr="0011015D" w:rsidRDefault="000748BF" w:rsidP="002426F4">
      <w:pPr>
        <w:pStyle w:val="ScheduleText4"/>
      </w:pPr>
      <w:r w:rsidRPr="0011015D">
        <w:t xml:space="preserve">appropriate due diligence procedures to evaluate the integrity and business history of persons and entities with whom they wish to transact; </w:t>
      </w:r>
    </w:p>
    <w:p w14:paraId="3FB01CE8" w14:textId="77777777" w:rsidR="006B7DB0" w:rsidRPr="0011015D" w:rsidRDefault="000748BF" w:rsidP="00F82629">
      <w:pPr>
        <w:pStyle w:val="ScheduleText3"/>
        <w:rPr>
          <w:w w:val="0"/>
        </w:rPr>
      </w:pPr>
      <w:r w:rsidRPr="0011015D">
        <w:rPr>
          <w:w w:val="0"/>
        </w:rPr>
        <w:t>properly records, reports and reviews financi</w:t>
      </w:r>
      <w:r w:rsidRPr="0011015D">
        <w:rPr>
          <w:w w:val="0"/>
        </w:rPr>
        <w:t>al and tax information and adopt internationally recognised accounting standards satisfactory to the Investors</w:t>
      </w:r>
      <w:r w:rsidRPr="00465916">
        <w:rPr>
          <w:w w:val="0"/>
        </w:rPr>
        <w:t>;</w:t>
      </w:r>
      <w:r w:rsidRPr="0011015D">
        <w:rPr>
          <w:w w:val="0"/>
        </w:rPr>
        <w:t xml:space="preserve"> </w:t>
      </w:r>
    </w:p>
    <w:p w14:paraId="3FB01CE9" w14:textId="77777777" w:rsidR="006B7DB0" w:rsidRPr="0011015D" w:rsidRDefault="000748BF" w:rsidP="00F82629">
      <w:pPr>
        <w:pStyle w:val="ScheduleText3"/>
        <w:rPr>
          <w:w w:val="0"/>
        </w:rPr>
      </w:pPr>
      <w:r w:rsidRPr="0011015D">
        <w:rPr>
          <w:w w:val="0"/>
        </w:rPr>
        <w:t>establishes corporate governance practices appropriate to the size and nature of the business;</w:t>
      </w:r>
    </w:p>
    <w:p w14:paraId="3FB01CEA" w14:textId="77777777" w:rsidR="006B7DB0" w:rsidRPr="0011015D" w:rsidRDefault="000748BF" w:rsidP="00F82629">
      <w:pPr>
        <w:pStyle w:val="ScheduleText3"/>
        <w:rPr>
          <w:w w:val="0"/>
        </w:rPr>
      </w:pPr>
      <w:r w:rsidRPr="0011015D">
        <w:rPr>
          <w:w w:val="0"/>
        </w:rPr>
        <w:t>deals with regulators in an open and co-operativ</w:t>
      </w:r>
      <w:r w:rsidRPr="0011015D">
        <w:rPr>
          <w:w w:val="0"/>
        </w:rPr>
        <w:t xml:space="preserve">e manner; </w:t>
      </w:r>
    </w:p>
    <w:p w14:paraId="3FB01CEB" w14:textId="77777777" w:rsidR="006B7DB0" w:rsidRPr="0011015D" w:rsidRDefault="000748BF" w:rsidP="00F82629">
      <w:pPr>
        <w:pStyle w:val="ScheduleText3"/>
      </w:pPr>
      <w:r w:rsidRPr="0011015D">
        <w:rPr>
          <w:w w:val="0"/>
        </w:rPr>
        <w:t>uses information received from its business partners only in the best interests of the business relationship and not for personal financial gain by any worker; and</w:t>
      </w:r>
    </w:p>
    <w:p w14:paraId="3FB01CEC" w14:textId="77777777" w:rsidR="006B7DB0" w:rsidRPr="0011015D" w:rsidRDefault="000748BF" w:rsidP="00F82629">
      <w:pPr>
        <w:pStyle w:val="ScheduleText3"/>
        <w:rPr>
          <w:w w:val="0"/>
        </w:rPr>
      </w:pPr>
      <w:r w:rsidRPr="0011015D">
        <w:rPr>
          <w:w w:val="0"/>
        </w:rPr>
        <w:t>ensures that employees and third parties providing material goods and services to</w:t>
      </w:r>
      <w:r w:rsidRPr="0011015D">
        <w:rPr>
          <w:w w:val="0"/>
        </w:rPr>
        <w:t xml:space="preserve"> any Group Company are contractually bound not to engage in any Financial Malpractice in the performance of employment or services on its behalf.</w:t>
      </w:r>
    </w:p>
    <w:p w14:paraId="3FB01CED" w14:textId="77777777" w:rsidR="003A2D6F" w:rsidRPr="0011015D" w:rsidRDefault="000748BF" w:rsidP="0011015D">
      <w:pPr>
        <w:pStyle w:val="draftingnote"/>
      </w:pPr>
      <w:r w:rsidRPr="0011015D">
        <w:t>Use</w:t>
      </w:r>
      <w:r w:rsidRPr="0011015D">
        <w:t xml:space="preserve"> </w:t>
      </w:r>
      <w:r>
        <w:t>paragraph</w:t>
      </w:r>
      <w:r w:rsidRPr="0011015D">
        <w:t xml:space="preserve"> </w:t>
      </w:r>
      <w:r w:rsidRPr="0011015D">
        <w:fldChar w:fldCharType="begin"/>
      </w:r>
      <w:r w:rsidRPr="0011015D">
        <w:instrText xml:space="preserve"> REF _Ref440622378 \r \h </w:instrText>
      </w:r>
      <w:r>
        <w:instrText xml:space="preserve"> \* MERGEFORMAT </w:instrText>
      </w:r>
      <w:r w:rsidRPr="0011015D">
        <w:fldChar w:fldCharType="separate"/>
      </w:r>
      <w:r>
        <w:t>8.1</w:t>
      </w:r>
      <w:r w:rsidRPr="0011015D">
        <w:fldChar w:fldCharType="end"/>
      </w:r>
      <w:r w:rsidRPr="0011015D">
        <w:t xml:space="preserve"> </w:t>
      </w:r>
      <w:r w:rsidRPr="0011015D">
        <w:t>for financial institutions and for businesses which operate in sectors where trade sanctions may be an issue (e.g. supply of equipment to sensitive countries or sectors, or where equipment co</w:t>
      </w:r>
      <w:r w:rsidRPr="0011015D">
        <w:t xml:space="preserve">uld be used for military and non-military purposes).  </w:t>
      </w:r>
      <w:r w:rsidRPr="0011015D">
        <w:t>S</w:t>
      </w:r>
      <w:r w:rsidRPr="0011015D">
        <w:t xml:space="preserve">anctions laws </w:t>
      </w:r>
      <w:r w:rsidRPr="0011015D">
        <w:t xml:space="preserve">are </w:t>
      </w:r>
      <w:r w:rsidRPr="0011015D">
        <w:t xml:space="preserve">also </w:t>
      </w:r>
      <w:r w:rsidRPr="0011015D">
        <w:t>within the ‘Business Integrity Laws’ definition so the general covenant on compliance with ESG Laws will be sufficient for other investments with low sanctions risks.</w:t>
      </w:r>
    </w:p>
    <w:p w14:paraId="3FB01CEE" w14:textId="77777777" w:rsidR="003A2D6F" w:rsidRPr="0011015D" w:rsidRDefault="000748BF" w:rsidP="00524BD5">
      <w:pPr>
        <w:pStyle w:val="ScheduleText1"/>
      </w:pPr>
      <w:r>
        <w:t>[</w:t>
      </w:r>
      <w:r w:rsidRPr="0011015D">
        <w:t>Sanctions</w:t>
      </w:r>
    </w:p>
    <w:p w14:paraId="3FB01CEF" w14:textId="77777777" w:rsidR="003A2D6F" w:rsidRPr="0011015D" w:rsidRDefault="000748BF" w:rsidP="0011015D">
      <w:pPr>
        <w:pStyle w:val="ScheduleText2"/>
      </w:pPr>
      <w:bookmarkStart w:id="62" w:name="_Ref440622378"/>
      <w:r w:rsidRPr="0011015D">
        <w:t>The Group shall [institute and] maintain internal procedures, consistent with its business and customer profile, to ensure that no member of the Group will enter into any transaction:</w:t>
      </w:r>
      <w:bookmarkEnd w:id="62"/>
      <w:r w:rsidRPr="0011015D">
        <w:t xml:space="preserve"> </w:t>
      </w:r>
    </w:p>
    <w:p w14:paraId="3FB01CF0" w14:textId="77777777" w:rsidR="003A2D6F" w:rsidRPr="0011015D" w:rsidRDefault="000748BF" w:rsidP="00586D14">
      <w:pPr>
        <w:pStyle w:val="ScheduleText3"/>
        <w:numPr>
          <w:ilvl w:val="2"/>
          <w:numId w:val="32"/>
        </w:numPr>
      </w:pPr>
      <w:r w:rsidRPr="0011015D">
        <w:t>with, or for the benefit of, any person or entity listed on any</w:t>
      </w:r>
      <w:r>
        <w:t xml:space="preserve"> Sanctio</w:t>
      </w:r>
      <w:r>
        <w:t>ns List</w:t>
      </w:r>
      <w:r w:rsidRPr="0011015D">
        <w:t>; or</w:t>
      </w:r>
    </w:p>
    <w:p w14:paraId="3FB01CF1" w14:textId="77777777" w:rsidR="003A2D6F" w:rsidRPr="0011015D" w:rsidRDefault="000748BF" w:rsidP="000C3B70">
      <w:pPr>
        <w:pStyle w:val="ScheduleText3"/>
      </w:pPr>
      <w:r w:rsidRPr="0011015D">
        <w:t>related to any activity prohibited by any Sanctioning Body.</w:t>
      </w:r>
    </w:p>
    <w:p w14:paraId="3FB01CF2" w14:textId="77777777" w:rsidR="006B7DB0" w:rsidRPr="0011015D" w:rsidRDefault="000748BF" w:rsidP="0011015D">
      <w:pPr>
        <w:pStyle w:val="draftingnote"/>
      </w:pPr>
      <w:r w:rsidRPr="0011015D">
        <w:lastRenderedPageBreak/>
        <w:t>Use for financial institutions</w:t>
      </w:r>
    </w:p>
    <w:p w14:paraId="3FB01CF3" w14:textId="77777777" w:rsidR="003A2D6F" w:rsidRPr="000C3B70" w:rsidRDefault="000748BF" w:rsidP="0011015D">
      <w:pPr>
        <w:pStyle w:val="ScheduleText2"/>
        <w:rPr>
          <w:i/>
        </w:rPr>
      </w:pPr>
      <w:bookmarkStart w:id="63" w:name="_Ref451882250"/>
      <w:r w:rsidRPr="0011015D">
        <w:t>[</w:t>
      </w:r>
      <w:r w:rsidRPr="000C3B70">
        <w:rPr>
          <w:i/>
        </w:rPr>
        <w:t xml:space="preserve">Each Group Company shall ensure that it has a covenant in any loan or facility document entered into after the date of this Agreement prohibiting any </w:t>
      </w:r>
      <w:r w:rsidRPr="000C3B70">
        <w:rPr>
          <w:i/>
        </w:rPr>
        <w:t>Client from being named on any Sanctions List or engaging in any activity prohibited by any Sanctioning Body. If a Group Company becomes aware that any Client has breached the covenant, the Group Company shall:</w:t>
      </w:r>
      <w:bookmarkEnd w:id="63"/>
    </w:p>
    <w:p w14:paraId="3FB01CF4" w14:textId="77777777" w:rsidR="003A2D6F" w:rsidRPr="000C3B70" w:rsidRDefault="000748BF" w:rsidP="00F665DA">
      <w:pPr>
        <w:pStyle w:val="ScheduleText2"/>
        <w:numPr>
          <w:ilvl w:val="2"/>
          <w:numId w:val="17"/>
        </w:numPr>
        <w:rPr>
          <w:i/>
        </w:rPr>
      </w:pPr>
      <w:r w:rsidRPr="000C3B70">
        <w:rPr>
          <w:i/>
        </w:rPr>
        <w:t>promptly notify the Investors of the breach a</w:t>
      </w:r>
      <w:r w:rsidRPr="000C3B70">
        <w:rPr>
          <w:i/>
        </w:rPr>
        <w:t>nd require the relevant Client to undertake as appropriate, in the Group Company’s reasonable judgement, corrective measures to remedy the breach; and</w:t>
      </w:r>
    </w:p>
    <w:p w14:paraId="3FB01CF5" w14:textId="77777777" w:rsidR="003A2D6F" w:rsidRPr="0011015D" w:rsidRDefault="000748BF" w:rsidP="00F665DA">
      <w:pPr>
        <w:pStyle w:val="ScheduleText2"/>
        <w:numPr>
          <w:ilvl w:val="2"/>
          <w:numId w:val="17"/>
        </w:numPr>
      </w:pPr>
      <w:r w:rsidRPr="000C3B70">
        <w:rPr>
          <w:i/>
        </w:rPr>
        <w:t>if the relevant Client does not implement the corrective measures, use commercially reasonable efforts to</w:t>
      </w:r>
      <w:r w:rsidRPr="000C3B70">
        <w:rPr>
          <w:i/>
        </w:rPr>
        <w:t xml:space="preserve"> accelerate or dispose of the Client’s loan on commercially reasonable terms, taking into account liquidity, market constraints and fiduciary responsibilities</w:t>
      </w:r>
      <w:r w:rsidRPr="0011015D">
        <w:t>.]</w:t>
      </w:r>
      <w:r>
        <w:t>]</w:t>
      </w:r>
    </w:p>
    <w:p w14:paraId="3FB01CF6" w14:textId="77777777" w:rsidR="00FC607D" w:rsidRPr="0011015D" w:rsidRDefault="000748BF" w:rsidP="00FC607D">
      <w:pPr>
        <w:rPr>
          <w:rFonts w:ascii="Georgia" w:hAnsi="Georgia"/>
        </w:rPr>
      </w:pPr>
    </w:p>
    <w:p w14:paraId="3FB01CF7" w14:textId="77777777" w:rsidR="00FC607D" w:rsidRPr="0011015D" w:rsidRDefault="000748BF" w:rsidP="00633C01">
      <w:pPr>
        <w:pStyle w:val="Heading3"/>
        <w:rPr>
          <w:rFonts w:ascii="Georgia" w:hAnsi="Georgia"/>
        </w:rPr>
      </w:pPr>
      <w:bookmarkStart w:id="64" w:name="_Toc368064316"/>
      <w:bookmarkStart w:id="65" w:name="_Toc456289239"/>
      <w:bookmarkStart w:id="66" w:name="_Toc451759974"/>
      <w:bookmarkStart w:id="67" w:name="_Toc462908786"/>
      <w:r w:rsidRPr="0011015D">
        <w:rPr>
          <w:rFonts w:ascii="Georgia" w:hAnsi="Georgia"/>
        </w:rPr>
        <w:t>Part B - Exclusion List</w:t>
      </w:r>
      <w:bookmarkEnd w:id="64"/>
      <w:bookmarkEnd w:id="65"/>
      <w:bookmarkEnd w:id="66"/>
      <w:bookmarkEnd w:id="67"/>
    </w:p>
    <w:p w14:paraId="3FB01CF8" w14:textId="77777777" w:rsidR="006879C5" w:rsidRPr="0011015D" w:rsidRDefault="000748BF" w:rsidP="006879C5">
      <w:pPr>
        <w:pStyle w:val="List"/>
        <w:rPr>
          <w:rFonts w:ascii="Georgia" w:hAnsi="Georgia"/>
        </w:rPr>
      </w:pPr>
      <w:r w:rsidRPr="0011015D">
        <w:rPr>
          <w:rFonts w:ascii="Georgia" w:hAnsi="Georgia"/>
        </w:rPr>
        <w:t xml:space="preserve">The production of, or trade in: </w:t>
      </w:r>
    </w:p>
    <w:p w14:paraId="3FB01CF9" w14:textId="77777777" w:rsidR="00FC607D" w:rsidRPr="0011015D" w:rsidRDefault="000748BF" w:rsidP="006879C5">
      <w:pPr>
        <w:pStyle w:val="List"/>
        <w:numPr>
          <w:ilvl w:val="1"/>
          <w:numId w:val="1"/>
        </w:numPr>
        <w:rPr>
          <w:rFonts w:ascii="Georgia" w:hAnsi="Georgia"/>
        </w:rPr>
      </w:pPr>
      <w:r w:rsidRPr="0011015D">
        <w:rPr>
          <w:rFonts w:ascii="Georgia" w:hAnsi="Georgia"/>
        </w:rPr>
        <w:t>hazardous chemicals, pharmaceuticals</w:t>
      </w:r>
      <w:r w:rsidRPr="0011015D">
        <w:rPr>
          <w:rFonts w:ascii="Georgia" w:hAnsi="Georgia"/>
        </w:rPr>
        <w:t>, pesticides and wastes, as specified in the 2004 Stockholm Convention on Persistent Organic Pollutants; the 2004 Rotterdam Convention on the Prior Informed Consent Procedure for Certain Hazardous Chemicals and Pesticides in International Trade; the 1992 B</w:t>
      </w:r>
      <w:r w:rsidRPr="0011015D">
        <w:rPr>
          <w:rFonts w:ascii="Georgia" w:hAnsi="Georgia"/>
        </w:rPr>
        <w:t xml:space="preserve">asel Convention on the Control of Transboundary Movements of Hazardous Wastes and their Disposal and WHO Recommended Classification of Pesticides by Hazard Class 1a (extremely hazardous); or 1b (highly hazardous); </w:t>
      </w:r>
    </w:p>
    <w:p w14:paraId="3FB01CFA" w14:textId="77777777" w:rsidR="00FC607D" w:rsidRPr="0011015D" w:rsidRDefault="000748BF" w:rsidP="006879C5">
      <w:pPr>
        <w:pStyle w:val="List"/>
        <w:numPr>
          <w:ilvl w:val="1"/>
          <w:numId w:val="1"/>
        </w:numPr>
        <w:rPr>
          <w:rFonts w:ascii="Georgia" w:hAnsi="Georgia"/>
        </w:rPr>
      </w:pPr>
      <w:r w:rsidRPr="0011015D">
        <w:rPr>
          <w:rFonts w:ascii="Georgia" w:hAnsi="Georgia"/>
        </w:rPr>
        <w:t xml:space="preserve">ozone depleting substances, as specified </w:t>
      </w:r>
      <w:r w:rsidRPr="0011015D">
        <w:rPr>
          <w:rFonts w:ascii="Georgia" w:hAnsi="Georgia"/>
        </w:rPr>
        <w:t xml:space="preserve">in the 1999 Montreal Protocol on Substances that Deplete the Ozone Layer; </w:t>
      </w:r>
    </w:p>
    <w:p w14:paraId="3FB01CFB" w14:textId="77777777" w:rsidR="00FC607D" w:rsidRPr="0011015D" w:rsidRDefault="000748BF" w:rsidP="006879C5">
      <w:pPr>
        <w:pStyle w:val="List"/>
        <w:numPr>
          <w:ilvl w:val="1"/>
          <w:numId w:val="1"/>
        </w:numPr>
        <w:rPr>
          <w:rFonts w:ascii="Georgia" w:hAnsi="Georgia"/>
        </w:rPr>
      </w:pPr>
      <w:r w:rsidRPr="0011015D">
        <w:rPr>
          <w:rFonts w:ascii="Georgia" w:hAnsi="Georgia"/>
        </w:rPr>
        <w:t xml:space="preserve">endangered or protected wildlife or wildlife products, as specified in the 1975 Convention on International Trade in Endangered Species or Wild Flora and Fauna; </w:t>
      </w:r>
    </w:p>
    <w:p w14:paraId="3FB01CFC" w14:textId="77777777" w:rsidR="001B02DC" w:rsidRPr="0011015D" w:rsidRDefault="000748BF" w:rsidP="006879C5">
      <w:pPr>
        <w:pStyle w:val="List"/>
        <w:numPr>
          <w:ilvl w:val="1"/>
          <w:numId w:val="1"/>
        </w:numPr>
        <w:rPr>
          <w:rFonts w:ascii="Georgia" w:hAnsi="Georgia"/>
        </w:rPr>
      </w:pPr>
      <w:r w:rsidRPr="0011015D">
        <w:rPr>
          <w:rFonts w:ascii="Georgia" w:hAnsi="Georgia"/>
        </w:rPr>
        <w:t>any other product o</w:t>
      </w:r>
      <w:r w:rsidRPr="0011015D">
        <w:rPr>
          <w:rFonts w:ascii="Georgia" w:hAnsi="Georgia"/>
        </w:rPr>
        <w:t>r activity deemed illegal under applicable local or national laws or regulations or subject to internationally agreed phase-outs or bans as defined in global conventions and agreements;</w:t>
      </w:r>
    </w:p>
    <w:p w14:paraId="3FB01CFD" w14:textId="77777777" w:rsidR="00FC607D" w:rsidRPr="0011015D" w:rsidRDefault="000748BF" w:rsidP="006879C5">
      <w:pPr>
        <w:pStyle w:val="List"/>
        <w:numPr>
          <w:ilvl w:val="1"/>
          <w:numId w:val="1"/>
        </w:numPr>
        <w:rPr>
          <w:rFonts w:ascii="Georgia" w:hAnsi="Georgia" w:cs="Arial"/>
          <w:kern w:val="2"/>
        </w:rPr>
      </w:pPr>
      <w:r w:rsidRPr="0011015D">
        <w:rPr>
          <w:rFonts w:ascii="Georgia" w:hAnsi="Georgia" w:cs="Arial"/>
          <w:kern w:val="2"/>
        </w:rPr>
        <w:t xml:space="preserve">arms (i.e. </w:t>
      </w:r>
      <w:r w:rsidRPr="0011015D">
        <w:rPr>
          <w:rFonts w:ascii="Georgia" w:hAnsi="Georgia"/>
        </w:rPr>
        <w:t>weapons</w:t>
      </w:r>
      <w:r w:rsidRPr="0011015D">
        <w:rPr>
          <w:rFonts w:ascii="Georgia" w:hAnsi="Georgia" w:cs="Arial"/>
          <w:kern w:val="2"/>
        </w:rPr>
        <w:t>, munitions or nuclear products, primarily designate</w:t>
      </w:r>
      <w:r w:rsidRPr="0011015D">
        <w:rPr>
          <w:rFonts w:ascii="Georgia" w:hAnsi="Georgia" w:cs="Arial"/>
          <w:kern w:val="2"/>
        </w:rPr>
        <w:t>d for military purposes);</w:t>
      </w:r>
      <w:r w:rsidRPr="0011015D">
        <w:rPr>
          <w:rFonts w:ascii="Georgia" w:hAnsi="Georgia" w:cs="Arial"/>
          <w:kern w:val="2"/>
        </w:rPr>
        <w:t xml:space="preserve"> or</w:t>
      </w:r>
    </w:p>
    <w:p w14:paraId="3FB01CFE" w14:textId="77777777" w:rsidR="006879C5" w:rsidRPr="0011015D" w:rsidRDefault="000748BF" w:rsidP="006879C5">
      <w:pPr>
        <w:pStyle w:val="List"/>
        <w:numPr>
          <w:ilvl w:val="1"/>
          <w:numId w:val="1"/>
        </w:numPr>
        <w:rPr>
          <w:rFonts w:ascii="Georgia" w:hAnsi="Georgia"/>
        </w:rPr>
      </w:pPr>
      <w:r w:rsidRPr="0011015D">
        <w:rPr>
          <w:rFonts w:ascii="Georgia" w:hAnsi="Georgia"/>
        </w:rPr>
        <w:t>radioactive materials (excluding medical equipment, quality control (measurement) equipment and any equipment in which the radioactive source could reasonably be considered to be trivial or adequately shielded).</w:t>
      </w:r>
    </w:p>
    <w:p w14:paraId="3FB01CFF" w14:textId="77777777" w:rsidR="006879C5" w:rsidRPr="0011015D" w:rsidRDefault="000748BF" w:rsidP="006879C5">
      <w:pPr>
        <w:pStyle w:val="List"/>
        <w:rPr>
          <w:rFonts w:ascii="Georgia" w:hAnsi="Georgia"/>
        </w:rPr>
      </w:pPr>
      <w:r w:rsidRPr="0011015D">
        <w:rPr>
          <w:rFonts w:ascii="Georgia" w:hAnsi="Georgia"/>
        </w:rPr>
        <w:t xml:space="preserve">Production of, </w:t>
      </w:r>
      <w:r w:rsidRPr="0011015D">
        <w:rPr>
          <w:rFonts w:ascii="Georgia" w:hAnsi="Georgia"/>
        </w:rPr>
        <w:t>use of, or trade in unbonded asbestos fibres.</w:t>
      </w:r>
    </w:p>
    <w:p w14:paraId="3FB01D00" w14:textId="77777777" w:rsidR="006879C5" w:rsidRPr="0011015D" w:rsidRDefault="000748BF" w:rsidP="006879C5">
      <w:pPr>
        <w:pStyle w:val="List"/>
        <w:rPr>
          <w:rFonts w:ascii="Georgia" w:hAnsi="Georgia"/>
        </w:rPr>
      </w:pPr>
      <w:r w:rsidRPr="0011015D">
        <w:rPr>
          <w:rFonts w:ascii="Georgia" w:hAnsi="Georgia"/>
        </w:rPr>
        <w:t>Unsustainable fishing methods such as blast fishing and drift net fishing in the marine environment using nets in excess of 2.5 kilometres in length.</w:t>
      </w:r>
    </w:p>
    <w:p w14:paraId="3FB01D01" w14:textId="77777777" w:rsidR="00FC607D" w:rsidRPr="0011015D" w:rsidRDefault="000748BF" w:rsidP="006879C5">
      <w:pPr>
        <w:pStyle w:val="List"/>
        <w:rPr>
          <w:rFonts w:ascii="Georgia" w:hAnsi="Georgia"/>
        </w:rPr>
      </w:pPr>
      <w:r w:rsidRPr="0011015D">
        <w:rPr>
          <w:rFonts w:ascii="Georgia" w:hAnsi="Georgia"/>
        </w:rPr>
        <w:t>Prostitution.</w:t>
      </w:r>
    </w:p>
    <w:p w14:paraId="3FB01D02" w14:textId="77777777" w:rsidR="00FC607D" w:rsidRPr="0011015D" w:rsidRDefault="000748BF" w:rsidP="0011015D">
      <w:pPr>
        <w:pStyle w:val="draftingnote"/>
      </w:pPr>
      <w:r w:rsidRPr="0011015D">
        <w:lastRenderedPageBreak/>
        <w:t>Consider deleting the introductory wording for</w:t>
      </w:r>
      <w:r w:rsidRPr="0011015D">
        <w:t xml:space="preserve"> direct investments in non-financial institutions where the activities are not considered to be likely – in these cases an outright prohibition may be appropriate.</w:t>
      </w:r>
    </w:p>
    <w:p w14:paraId="3FB01D03" w14:textId="77777777" w:rsidR="00FC607D" w:rsidRPr="0011015D" w:rsidRDefault="000748BF" w:rsidP="00FC607D">
      <w:pPr>
        <w:suppressAutoHyphens/>
        <w:spacing w:after="120"/>
        <w:rPr>
          <w:rFonts w:ascii="Georgia" w:hAnsi="Georgia" w:cs="Arial"/>
          <w:kern w:val="2"/>
          <w:szCs w:val="22"/>
        </w:rPr>
      </w:pPr>
      <w:r w:rsidRPr="0011015D">
        <w:rPr>
          <w:rFonts w:ascii="Georgia" w:hAnsi="Georgia" w:cs="Arial"/>
          <w:kern w:val="2"/>
          <w:szCs w:val="22"/>
        </w:rPr>
        <w:t xml:space="preserve">[Any of the following, to the extent that the activities represent more than 10% of the </w:t>
      </w:r>
      <w:r w:rsidRPr="0011015D">
        <w:rPr>
          <w:rFonts w:ascii="Georgia" w:hAnsi="Georgia" w:cs="Arial"/>
          <w:kern w:val="2"/>
          <w:szCs w:val="22"/>
        </w:rPr>
        <w:t>Group’s [consolidated balance sheet or earnings][</w:t>
      </w:r>
      <w:r w:rsidRPr="0011015D">
        <w:rPr>
          <w:rFonts w:ascii="Georgia" w:hAnsi="Georgia" w:cs="Arial"/>
          <w:i/>
          <w:kern w:val="2"/>
          <w:szCs w:val="22"/>
        </w:rPr>
        <w:t>underlying portfolio volumes</w:t>
      </w:r>
      <w:r w:rsidRPr="0011015D">
        <w:rPr>
          <w:rFonts w:ascii="Georgia" w:hAnsi="Georgia" w:cs="Arial"/>
          <w:kern w:val="2"/>
          <w:szCs w:val="22"/>
        </w:rPr>
        <w:t>]:]</w:t>
      </w:r>
    </w:p>
    <w:p w14:paraId="3FB01D04" w14:textId="77777777" w:rsidR="00FC607D" w:rsidRPr="0011015D" w:rsidRDefault="000748BF" w:rsidP="006879C5">
      <w:pPr>
        <w:pStyle w:val="List"/>
        <w:rPr>
          <w:rFonts w:ascii="Georgia" w:hAnsi="Georgia"/>
        </w:rPr>
      </w:pPr>
      <w:r w:rsidRPr="0011015D">
        <w:rPr>
          <w:rFonts w:ascii="Georgia" w:hAnsi="Georgia"/>
        </w:rPr>
        <w:t>Gambling, gaming casinos and equivalent enterprises[;][[.]</w:t>
      </w:r>
    </w:p>
    <w:p w14:paraId="3FB01D05" w14:textId="77777777" w:rsidR="00FC607D" w:rsidRPr="0011015D" w:rsidRDefault="000748BF" w:rsidP="006879C5">
      <w:pPr>
        <w:pStyle w:val="List"/>
        <w:rPr>
          <w:rFonts w:ascii="Georgia" w:hAnsi="Georgia"/>
        </w:rPr>
      </w:pPr>
      <w:r w:rsidRPr="0011015D">
        <w:rPr>
          <w:rFonts w:ascii="Georgia" w:hAnsi="Georgia"/>
        </w:rPr>
        <w:t xml:space="preserve">Tobacco or tobacco related products (except where the Group proposes to cease such activities completely within a </w:t>
      </w:r>
      <w:r w:rsidRPr="0011015D">
        <w:rPr>
          <w:rFonts w:ascii="Georgia" w:hAnsi="Georgia"/>
        </w:rPr>
        <w:t>period agreed with the Investors</w:t>
      </w:r>
      <w:r w:rsidRPr="00465916">
        <w:rPr>
          <w:rFonts w:ascii="Georgia" w:hAnsi="Georgia"/>
        </w:rPr>
        <w:t>)[.][;</w:t>
      </w:r>
      <w:r w:rsidRPr="0011015D">
        <w:rPr>
          <w:rFonts w:ascii="Georgia" w:hAnsi="Georgia"/>
        </w:rPr>
        <w:t xml:space="preserve"> or]</w:t>
      </w:r>
    </w:p>
    <w:p w14:paraId="3FB01D06" w14:textId="77777777" w:rsidR="00FC607D" w:rsidRPr="0011015D" w:rsidRDefault="000748BF" w:rsidP="006879C5">
      <w:pPr>
        <w:pStyle w:val="List"/>
        <w:rPr>
          <w:rFonts w:ascii="Georgia" w:hAnsi="Georgia"/>
        </w:rPr>
      </w:pPr>
      <w:r w:rsidRPr="0011015D">
        <w:rPr>
          <w:rFonts w:ascii="Georgia" w:hAnsi="Georgia"/>
        </w:rPr>
        <w:t>Pornography.</w:t>
      </w:r>
    </w:p>
    <w:p w14:paraId="3FB01D07" w14:textId="77777777" w:rsidR="007D2DA5" w:rsidRPr="0011015D" w:rsidRDefault="000748BF" w:rsidP="009E2301">
      <w:pPr>
        <w:rPr>
          <w:rFonts w:ascii="Georgia" w:hAnsi="Georgia"/>
        </w:rPr>
      </w:pPr>
    </w:p>
    <w:p w14:paraId="3FB01D08" w14:textId="77777777" w:rsidR="009E2301" w:rsidRPr="0011015D" w:rsidRDefault="000748BF" w:rsidP="009E2301">
      <w:pPr>
        <w:rPr>
          <w:rFonts w:ascii="Georgia" w:hAnsi="Georgia"/>
        </w:rPr>
      </w:pPr>
    </w:p>
    <w:p w14:paraId="3FB01D09" w14:textId="77777777" w:rsidR="00FC607D" w:rsidRPr="0011015D" w:rsidRDefault="000748BF" w:rsidP="00B93D66">
      <w:pPr>
        <w:pStyle w:val="Heading3"/>
        <w:rPr>
          <w:rFonts w:ascii="Georgia" w:hAnsi="Georgia"/>
        </w:rPr>
      </w:pPr>
      <w:bookmarkStart w:id="68" w:name="_Toc368064317"/>
      <w:bookmarkStart w:id="69" w:name="_Toc456289240"/>
      <w:bookmarkStart w:id="70" w:name="_Toc451759975"/>
      <w:bookmarkStart w:id="71" w:name="_Toc462908787"/>
      <w:r w:rsidRPr="0011015D">
        <w:rPr>
          <w:rFonts w:ascii="Georgia" w:hAnsi="Georgia"/>
        </w:rPr>
        <w:t>Part C - Serious Incident Report</w:t>
      </w:r>
      <w:bookmarkEnd w:id="68"/>
      <w:bookmarkEnd w:id="69"/>
      <w:bookmarkEnd w:id="70"/>
      <w:bookmarkEnd w:id="71"/>
    </w:p>
    <w:tbl>
      <w:tblPr>
        <w:tblW w:w="9229" w:type="dxa"/>
        <w:tblInd w:w="93" w:type="dxa"/>
        <w:tblLook w:val="04A0" w:firstRow="1" w:lastRow="0" w:firstColumn="1" w:lastColumn="0" w:noHBand="0" w:noVBand="1"/>
      </w:tblPr>
      <w:tblGrid>
        <w:gridCol w:w="2142"/>
        <w:gridCol w:w="7087"/>
      </w:tblGrid>
      <w:tr w:rsidR="005E49CA" w14:paraId="3FB01D0B" w14:textId="77777777" w:rsidTr="00FC607D">
        <w:trPr>
          <w:trHeight w:val="315"/>
        </w:trPr>
        <w:tc>
          <w:tcPr>
            <w:tcW w:w="9229" w:type="dxa"/>
            <w:gridSpan w:val="2"/>
            <w:tcBorders>
              <w:top w:val="single" w:sz="4" w:space="0" w:color="auto"/>
              <w:left w:val="single" w:sz="8" w:space="0" w:color="auto"/>
              <w:bottom w:val="single" w:sz="4" w:space="0" w:color="auto"/>
              <w:right w:val="single" w:sz="8" w:space="0" w:color="000000"/>
            </w:tcBorders>
            <w:shd w:val="clear" w:color="000000" w:fill="333399"/>
            <w:hideMark/>
          </w:tcPr>
          <w:p w14:paraId="3FB01D0A" w14:textId="77777777" w:rsidR="00FC607D" w:rsidRPr="0011015D" w:rsidRDefault="000748BF" w:rsidP="00B93D66">
            <w:pPr>
              <w:keepNext/>
              <w:spacing w:after="240"/>
              <w:rPr>
                <w:rFonts w:ascii="Georgia" w:hAnsi="Georgia" w:cs="Arial"/>
                <w:b/>
                <w:bCs/>
                <w:color w:val="FFFFFF"/>
                <w:szCs w:val="22"/>
              </w:rPr>
            </w:pPr>
            <w:r w:rsidRPr="0011015D">
              <w:rPr>
                <w:rFonts w:ascii="Georgia" w:hAnsi="Georgia" w:cs="Arial"/>
                <w:b/>
                <w:bCs/>
                <w:color w:val="FFFFFF"/>
                <w:szCs w:val="22"/>
              </w:rPr>
              <w:t>REPORT on ESG ISSUES/INCIDENT in [Name of Company]</w:t>
            </w:r>
          </w:p>
        </w:tc>
      </w:tr>
      <w:tr w:rsidR="005E49CA" w14:paraId="3FB01D0E" w14:textId="77777777" w:rsidTr="00FC607D">
        <w:trPr>
          <w:trHeight w:val="255"/>
        </w:trPr>
        <w:tc>
          <w:tcPr>
            <w:tcW w:w="2142" w:type="dxa"/>
            <w:tcBorders>
              <w:top w:val="nil"/>
              <w:left w:val="single" w:sz="8" w:space="0" w:color="auto"/>
              <w:bottom w:val="single" w:sz="4" w:space="0" w:color="auto"/>
              <w:right w:val="single" w:sz="4" w:space="0" w:color="auto"/>
            </w:tcBorders>
            <w:shd w:val="clear" w:color="000000" w:fill="333399"/>
            <w:hideMark/>
          </w:tcPr>
          <w:p w14:paraId="3FB01D0C" w14:textId="77777777" w:rsidR="00FC607D" w:rsidRPr="0011015D" w:rsidRDefault="000748BF" w:rsidP="00B93D66">
            <w:pPr>
              <w:keepNext/>
              <w:spacing w:after="240"/>
              <w:rPr>
                <w:rFonts w:ascii="Georgia" w:hAnsi="Georgia" w:cs="Arial"/>
                <w:b/>
                <w:bCs/>
                <w:color w:val="FFFFFF"/>
                <w:szCs w:val="22"/>
              </w:rPr>
            </w:pPr>
            <w:r w:rsidRPr="0011015D">
              <w:rPr>
                <w:rFonts w:ascii="Georgia" w:hAnsi="Georgia" w:cs="Arial"/>
                <w:b/>
                <w:bCs/>
                <w:color w:val="FFFFFF"/>
                <w:szCs w:val="22"/>
              </w:rPr>
              <w:t>Date of report</w:t>
            </w:r>
          </w:p>
        </w:tc>
        <w:tc>
          <w:tcPr>
            <w:tcW w:w="7087" w:type="dxa"/>
            <w:tcBorders>
              <w:top w:val="nil"/>
              <w:left w:val="nil"/>
              <w:bottom w:val="single" w:sz="4" w:space="0" w:color="auto"/>
              <w:right w:val="single" w:sz="8" w:space="0" w:color="auto"/>
            </w:tcBorders>
            <w:shd w:val="clear" w:color="auto" w:fill="auto"/>
            <w:hideMark/>
          </w:tcPr>
          <w:p w14:paraId="3FB01D0D" w14:textId="77777777" w:rsidR="00FC607D" w:rsidRPr="0011015D" w:rsidRDefault="000748BF" w:rsidP="00B93D66">
            <w:pPr>
              <w:keepNext/>
              <w:spacing w:after="240"/>
              <w:rPr>
                <w:rFonts w:ascii="Georgia" w:hAnsi="Georgia" w:cs="Arial"/>
                <w:color w:val="000000"/>
                <w:szCs w:val="22"/>
              </w:rPr>
            </w:pPr>
            <w:r w:rsidRPr="0011015D">
              <w:rPr>
                <w:rFonts w:ascii="Georgia" w:hAnsi="Georgia" w:cs="Arial"/>
                <w:color w:val="000000"/>
                <w:szCs w:val="22"/>
              </w:rPr>
              <w:t> </w:t>
            </w:r>
          </w:p>
        </w:tc>
      </w:tr>
      <w:tr w:rsidR="005E49CA" w14:paraId="3FB01D11" w14:textId="77777777" w:rsidTr="00FC607D">
        <w:trPr>
          <w:trHeight w:val="510"/>
        </w:trPr>
        <w:tc>
          <w:tcPr>
            <w:tcW w:w="2142" w:type="dxa"/>
            <w:tcBorders>
              <w:top w:val="nil"/>
              <w:left w:val="single" w:sz="8" w:space="0" w:color="auto"/>
              <w:bottom w:val="single" w:sz="4" w:space="0" w:color="auto"/>
              <w:right w:val="single" w:sz="4" w:space="0" w:color="auto"/>
            </w:tcBorders>
            <w:shd w:val="clear" w:color="000000" w:fill="333399"/>
            <w:hideMark/>
          </w:tcPr>
          <w:p w14:paraId="3FB01D0F" w14:textId="77777777" w:rsidR="00FC607D" w:rsidRPr="0011015D" w:rsidRDefault="000748BF" w:rsidP="00B93D66">
            <w:pPr>
              <w:keepNext/>
              <w:spacing w:after="240"/>
              <w:rPr>
                <w:rFonts w:ascii="Georgia" w:hAnsi="Georgia" w:cs="Arial"/>
                <w:b/>
                <w:bCs/>
                <w:color w:val="FFFFFF"/>
                <w:szCs w:val="22"/>
              </w:rPr>
            </w:pPr>
            <w:r w:rsidRPr="0011015D">
              <w:rPr>
                <w:rFonts w:ascii="Georgia" w:hAnsi="Georgia" w:cs="Arial"/>
                <w:b/>
                <w:bCs/>
                <w:color w:val="FFFFFF"/>
                <w:szCs w:val="22"/>
              </w:rPr>
              <w:t>Company contact person</w:t>
            </w:r>
          </w:p>
        </w:tc>
        <w:tc>
          <w:tcPr>
            <w:tcW w:w="7087" w:type="dxa"/>
            <w:tcBorders>
              <w:top w:val="nil"/>
              <w:left w:val="nil"/>
              <w:bottom w:val="single" w:sz="4" w:space="0" w:color="auto"/>
              <w:right w:val="single" w:sz="8" w:space="0" w:color="auto"/>
            </w:tcBorders>
            <w:shd w:val="clear" w:color="auto" w:fill="auto"/>
            <w:hideMark/>
          </w:tcPr>
          <w:p w14:paraId="3FB01D10" w14:textId="77777777" w:rsidR="00FC607D" w:rsidRPr="0011015D" w:rsidRDefault="000748BF" w:rsidP="00B93D66">
            <w:pPr>
              <w:keepNext/>
              <w:spacing w:after="240"/>
              <w:rPr>
                <w:rFonts w:ascii="Georgia" w:hAnsi="Georgia" w:cs="Arial"/>
                <w:color w:val="000000"/>
                <w:szCs w:val="22"/>
              </w:rPr>
            </w:pPr>
            <w:r w:rsidRPr="0011015D">
              <w:rPr>
                <w:rFonts w:ascii="Georgia" w:hAnsi="Georgia" w:cs="Arial"/>
                <w:color w:val="000000"/>
                <w:szCs w:val="22"/>
              </w:rPr>
              <w:t> </w:t>
            </w:r>
          </w:p>
        </w:tc>
      </w:tr>
      <w:tr w:rsidR="005E49CA" w14:paraId="3FB01D1C" w14:textId="77777777" w:rsidTr="00FC607D">
        <w:trPr>
          <w:trHeight w:val="255"/>
        </w:trPr>
        <w:tc>
          <w:tcPr>
            <w:tcW w:w="2142" w:type="dxa"/>
            <w:tcBorders>
              <w:top w:val="nil"/>
              <w:left w:val="single" w:sz="8" w:space="0" w:color="auto"/>
              <w:bottom w:val="single" w:sz="4" w:space="0" w:color="auto"/>
              <w:right w:val="single" w:sz="4" w:space="0" w:color="auto"/>
            </w:tcBorders>
            <w:shd w:val="clear" w:color="000000" w:fill="333399"/>
            <w:hideMark/>
          </w:tcPr>
          <w:p w14:paraId="3FB01D12" w14:textId="77777777" w:rsidR="00FC607D" w:rsidRPr="0011015D" w:rsidRDefault="000748BF" w:rsidP="00B93D66">
            <w:pPr>
              <w:keepNext/>
              <w:spacing w:after="240"/>
              <w:rPr>
                <w:rFonts w:ascii="Georgia" w:hAnsi="Georgia" w:cs="Arial"/>
                <w:b/>
                <w:bCs/>
                <w:color w:val="FFFFFF"/>
                <w:szCs w:val="22"/>
              </w:rPr>
            </w:pPr>
            <w:r w:rsidRPr="0011015D">
              <w:rPr>
                <w:rFonts w:ascii="Georgia" w:hAnsi="Georgia" w:cs="Arial"/>
                <w:b/>
                <w:bCs/>
                <w:color w:val="FFFFFF"/>
                <w:szCs w:val="22"/>
              </w:rPr>
              <w:t>Description of issue</w:t>
            </w:r>
          </w:p>
        </w:tc>
        <w:tc>
          <w:tcPr>
            <w:tcW w:w="7087" w:type="dxa"/>
            <w:tcBorders>
              <w:top w:val="nil"/>
              <w:left w:val="nil"/>
              <w:bottom w:val="single" w:sz="4" w:space="0" w:color="auto"/>
              <w:right w:val="single" w:sz="8" w:space="0" w:color="auto"/>
            </w:tcBorders>
            <w:shd w:val="clear" w:color="auto" w:fill="auto"/>
            <w:hideMark/>
          </w:tcPr>
          <w:p w14:paraId="3FB01D13" w14:textId="77777777" w:rsidR="00FC607D" w:rsidRPr="0011015D" w:rsidRDefault="000748BF" w:rsidP="00586D14">
            <w:pPr>
              <w:pStyle w:val="ListParagraph"/>
              <w:keepNext/>
              <w:numPr>
                <w:ilvl w:val="0"/>
                <w:numId w:val="10"/>
              </w:numPr>
              <w:spacing w:line="280" w:lineRule="exact"/>
              <w:ind w:left="459" w:hanging="426"/>
              <w:rPr>
                <w:rFonts w:ascii="Georgia" w:hAnsi="Georgia" w:cs="Arial"/>
                <w:color w:val="000000"/>
                <w:sz w:val="22"/>
                <w:szCs w:val="22"/>
              </w:rPr>
            </w:pPr>
            <w:r w:rsidRPr="0011015D">
              <w:rPr>
                <w:rFonts w:ascii="Georgia" w:hAnsi="Georgia" w:cs="Arial"/>
                <w:color w:val="000000"/>
                <w:sz w:val="22"/>
                <w:szCs w:val="22"/>
              </w:rPr>
              <w:t>Date and time of incident.</w:t>
            </w:r>
          </w:p>
          <w:p w14:paraId="3FB01D14" w14:textId="77777777" w:rsidR="00FC607D" w:rsidRPr="0011015D" w:rsidRDefault="000748BF" w:rsidP="00586D14">
            <w:pPr>
              <w:pStyle w:val="ListParagraph"/>
              <w:keepNext/>
              <w:numPr>
                <w:ilvl w:val="0"/>
                <w:numId w:val="10"/>
              </w:numPr>
              <w:spacing w:line="280" w:lineRule="exact"/>
              <w:ind w:left="459" w:hanging="426"/>
              <w:rPr>
                <w:rFonts w:ascii="Georgia" w:hAnsi="Georgia" w:cs="Arial"/>
                <w:color w:val="000000"/>
                <w:sz w:val="22"/>
                <w:szCs w:val="22"/>
              </w:rPr>
            </w:pPr>
            <w:r w:rsidRPr="0011015D">
              <w:rPr>
                <w:rFonts w:ascii="Georgia" w:hAnsi="Georgia" w:cs="Arial"/>
                <w:color w:val="000000"/>
                <w:sz w:val="22"/>
                <w:szCs w:val="22"/>
              </w:rPr>
              <w:t xml:space="preserve">Type of incident: </w:t>
            </w:r>
            <w:r w:rsidRPr="0011015D">
              <w:rPr>
                <w:rFonts w:ascii="Georgia" w:hAnsi="Georgia" w:cs="Arial"/>
                <w:color w:val="000000"/>
                <w:sz w:val="22"/>
                <w:szCs w:val="22"/>
              </w:rPr>
              <w:t>environmental issue, fatality, alleged fraud or other.</w:t>
            </w:r>
          </w:p>
          <w:p w14:paraId="3FB01D15" w14:textId="77777777" w:rsidR="00FC607D" w:rsidRPr="0011015D" w:rsidRDefault="000748BF" w:rsidP="00586D14">
            <w:pPr>
              <w:pStyle w:val="ListParagraph"/>
              <w:keepNext/>
              <w:numPr>
                <w:ilvl w:val="0"/>
                <w:numId w:val="10"/>
              </w:numPr>
              <w:spacing w:line="280" w:lineRule="exact"/>
              <w:ind w:left="459" w:hanging="426"/>
              <w:rPr>
                <w:rFonts w:ascii="Georgia" w:hAnsi="Georgia" w:cs="Arial"/>
                <w:color w:val="000000"/>
                <w:sz w:val="22"/>
                <w:szCs w:val="22"/>
              </w:rPr>
            </w:pPr>
            <w:r w:rsidRPr="0011015D">
              <w:rPr>
                <w:rFonts w:ascii="Georgia" w:hAnsi="Georgia" w:cs="Arial"/>
                <w:color w:val="000000"/>
                <w:sz w:val="22"/>
                <w:szCs w:val="22"/>
              </w:rPr>
              <w:t>Name of person/s involved/injured/deceased, if applicable</w:t>
            </w:r>
          </w:p>
          <w:p w14:paraId="3FB01D16" w14:textId="77777777" w:rsidR="00FC607D" w:rsidRPr="0011015D" w:rsidRDefault="000748BF" w:rsidP="00586D14">
            <w:pPr>
              <w:pStyle w:val="ListParagraph"/>
              <w:keepNext/>
              <w:numPr>
                <w:ilvl w:val="0"/>
                <w:numId w:val="10"/>
              </w:numPr>
              <w:spacing w:line="280" w:lineRule="exact"/>
              <w:ind w:left="459" w:hanging="426"/>
              <w:rPr>
                <w:rFonts w:ascii="Georgia" w:hAnsi="Georgia" w:cs="Arial"/>
                <w:color w:val="000000"/>
                <w:sz w:val="22"/>
                <w:szCs w:val="22"/>
              </w:rPr>
            </w:pPr>
            <w:r w:rsidRPr="0011015D">
              <w:rPr>
                <w:rFonts w:ascii="Georgia" w:hAnsi="Georgia" w:cs="Arial"/>
                <w:color w:val="000000"/>
                <w:sz w:val="22"/>
                <w:szCs w:val="22"/>
              </w:rPr>
              <w:t>Narrative and contextual information.</w:t>
            </w:r>
          </w:p>
          <w:p w14:paraId="3FB01D17" w14:textId="77777777" w:rsidR="00FC607D" w:rsidRPr="0011015D" w:rsidRDefault="000748BF" w:rsidP="00586D14">
            <w:pPr>
              <w:pStyle w:val="ListParagraph"/>
              <w:keepNext/>
              <w:numPr>
                <w:ilvl w:val="0"/>
                <w:numId w:val="10"/>
              </w:numPr>
              <w:spacing w:line="280" w:lineRule="exact"/>
              <w:ind w:left="459" w:hanging="426"/>
              <w:rPr>
                <w:rFonts w:ascii="Georgia" w:hAnsi="Georgia" w:cs="Arial"/>
                <w:color w:val="000000"/>
                <w:sz w:val="22"/>
                <w:szCs w:val="22"/>
              </w:rPr>
            </w:pPr>
            <w:r w:rsidRPr="0011015D">
              <w:rPr>
                <w:rFonts w:ascii="Georgia" w:hAnsi="Georgia" w:cs="Arial"/>
                <w:color w:val="000000"/>
                <w:sz w:val="22"/>
                <w:szCs w:val="22"/>
              </w:rPr>
              <w:t>Whether incident was work or non-work related.</w:t>
            </w:r>
          </w:p>
          <w:p w14:paraId="3FB01D18" w14:textId="77777777" w:rsidR="00FC607D" w:rsidRPr="0011015D" w:rsidRDefault="000748BF" w:rsidP="00586D14">
            <w:pPr>
              <w:pStyle w:val="ListParagraph"/>
              <w:keepNext/>
              <w:numPr>
                <w:ilvl w:val="0"/>
                <w:numId w:val="10"/>
              </w:numPr>
              <w:spacing w:line="280" w:lineRule="exact"/>
              <w:ind w:left="459" w:hanging="426"/>
              <w:rPr>
                <w:rFonts w:ascii="Georgia" w:hAnsi="Georgia" w:cs="Arial"/>
                <w:color w:val="000000"/>
                <w:sz w:val="22"/>
                <w:szCs w:val="22"/>
              </w:rPr>
            </w:pPr>
            <w:r w:rsidRPr="0011015D">
              <w:rPr>
                <w:rFonts w:ascii="Georgia" w:hAnsi="Georgia" w:cs="Arial"/>
                <w:color w:val="000000"/>
                <w:sz w:val="22"/>
                <w:szCs w:val="22"/>
              </w:rPr>
              <w:t>Causes of incident.</w:t>
            </w:r>
          </w:p>
          <w:p w14:paraId="3FB01D19" w14:textId="77777777" w:rsidR="00FC607D" w:rsidRPr="0011015D" w:rsidRDefault="000748BF" w:rsidP="00586D14">
            <w:pPr>
              <w:pStyle w:val="ListParagraph"/>
              <w:keepNext/>
              <w:numPr>
                <w:ilvl w:val="0"/>
                <w:numId w:val="10"/>
              </w:numPr>
              <w:spacing w:line="280" w:lineRule="exact"/>
              <w:ind w:left="459" w:hanging="426"/>
              <w:rPr>
                <w:rFonts w:ascii="Georgia" w:hAnsi="Georgia" w:cs="Arial"/>
                <w:color w:val="000000"/>
                <w:sz w:val="22"/>
                <w:szCs w:val="22"/>
              </w:rPr>
            </w:pPr>
            <w:r w:rsidRPr="0011015D">
              <w:rPr>
                <w:rFonts w:ascii="Georgia" w:hAnsi="Georgia" w:cs="Arial"/>
                <w:color w:val="000000"/>
                <w:sz w:val="22"/>
                <w:szCs w:val="22"/>
              </w:rPr>
              <w:t>Status of investigation.</w:t>
            </w:r>
          </w:p>
          <w:p w14:paraId="3FB01D1A" w14:textId="77777777" w:rsidR="00FC607D" w:rsidRPr="0011015D" w:rsidRDefault="000748BF" w:rsidP="00586D14">
            <w:pPr>
              <w:pStyle w:val="ListParagraph"/>
              <w:keepNext/>
              <w:numPr>
                <w:ilvl w:val="0"/>
                <w:numId w:val="10"/>
              </w:numPr>
              <w:spacing w:line="280" w:lineRule="exact"/>
              <w:ind w:left="459" w:hanging="426"/>
              <w:rPr>
                <w:rFonts w:ascii="Georgia" w:hAnsi="Georgia" w:cs="Arial"/>
                <w:color w:val="000000"/>
                <w:sz w:val="22"/>
                <w:szCs w:val="22"/>
              </w:rPr>
            </w:pPr>
            <w:r w:rsidRPr="0011015D">
              <w:rPr>
                <w:rFonts w:ascii="Georgia" w:hAnsi="Georgia" w:cs="Arial"/>
                <w:color w:val="000000"/>
                <w:sz w:val="22"/>
                <w:szCs w:val="22"/>
              </w:rPr>
              <w:t>Listing of pa</w:t>
            </w:r>
            <w:r w:rsidRPr="0011015D">
              <w:rPr>
                <w:rFonts w:ascii="Georgia" w:hAnsi="Georgia" w:cs="Arial"/>
                <w:color w:val="000000"/>
                <w:sz w:val="22"/>
                <w:szCs w:val="22"/>
              </w:rPr>
              <w:t>rties involved in investigation (witnesses and staff, unions, police, other authorities and other parties.</w:t>
            </w:r>
          </w:p>
          <w:p w14:paraId="3FB01D1B" w14:textId="77777777" w:rsidR="004E136A" w:rsidRPr="0011015D" w:rsidRDefault="000748BF" w:rsidP="00586D14">
            <w:pPr>
              <w:pStyle w:val="ListParagraph"/>
              <w:keepNext/>
              <w:numPr>
                <w:ilvl w:val="0"/>
                <w:numId w:val="10"/>
              </w:numPr>
              <w:spacing w:line="280" w:lineRule="exact"/>
              <w:ind w:left="459" w:hanging="426"/>
              <w:rPr>
                <w:rFonts w:ascii="Georgia" w:hAnsi="Georgia" w:cs="Arial"/>
                <w:color w:val="000000"/>
                <w:sz w:val="22"/>
                <w:szCs w:val="22"/>
              </w:rPr>
            </w:pPr>
            <w:r w:rsidRPr="0011015D">
              <w:rPr>
                <w:rFonts w:ascii="Georgia" w:hAnsi="Georgia" w:cs="Arial"/>
                <w:color w:val="000000"/>
                <w:sz w:val="22"/>
                <w:szCs w:val="22"/>
              </w:rPr>
              <w:t>Publicity</w:t>
            </w:r>
          </w:p>
        </w:tc>
      </w:tr>
      <w:tr w:rsidR="005E49CA" w14:paraId="3FB01D25" w14:textId="77777777" w:rsidTr="00FC607D">
        <w:trPr>
          <w:trHeight w:val="510"/>
        </w:trPr>
        <w:tc>
          <w:tcPr>
            <w:tcW w:w="2142" w:type="dxa"/>
            <w:tcBorders>
              <w:top w:val="nil"/>
              <w:left w:val="single" w:sz="8" w:space="0" w:color="auto"/>
              <w:bottom w:val="single" w:sz="4" w:space="0" w:color="auto"/>
              <w:right w:val="single" w:sz="4" w:space="0" w:color="auto"/>
            </w:tcBorders>
            <w:shd w:val="clear" w:color="000000" w:fill="333399"/>
            <w:hideMark/>
          </w:tcPr>
          <w:p w14:paraId="3FB01D1D" w14:textId="77777777" w:rsidR="00FC607D" w:rsidRPr="0011015D" w:rsidRDefault="000748BF" w:rsidP="00B93D66">
            <w:pPr>
              <w:keepNext/>
              <w:spacing w:after="240"/>
              <w:rPr>
                <w:rFonts w:ascii="Georgia" w:hAnsi="Georgia" w:cs="Arial"/>
                <w:b/>
                <w:bCs/>
                <w:color w:val="FFFFFF"/>
                <w:szCs w:val="22"/>
              </w:rPr>
            </w:pPr>
            <w:r w:rsidRPr="0011015D">
              <w:rPr>
                <w:rFonts w:ascii="Georgia" w:hAnsi="Georgia" w:cs="Arial"/>
                <w:b/>
                <w:bCs/>
                <w:color w:val="FFFFFF"/>
                <w:szCs w:val="22"/>
              </w:rPr>
              <w:t xml:space="preserve">Follow-up by Company management </w:t>
            </w:r>
          </w:p>
        </w:tc>
        <w:tc>
          <w:tcPr>
            <w:tcW w:w="7087" w:type="dxa"/>
            <w:tcBorders>
              <w:top w:val="nil"/>
              <w:left w:val="nil"/>
              <w:bottom w:val="single" w:sz="4" w:space="0" w:color="auto"/>
              <w:right w:val="single" w:sz="8" w:space="0" w:color="auto"/>
            </w:tcBorders>
            <w:shd w:val="clear" w:color="auto" w:fill="auto"/>
            <w:hideMark/>
          </w:tcPr>
          <w:p w14:paraId="3FB01D1E" w14:textId="77777777" w:rsidR="00FC607D" w:rsidRPr="0011015D" w:rsidRDefault="000748BF" w:rsidP="00586D14">
            <w:pPr>
              <w:pStyle w:val="ListParagraph"/>
              <w:keepNext/>
              <w:numPr>
                <w:ilvl w:val="0"/>
                <w:numId w:val="11"/>
              </w:numPr>
              <w:spacing w:line="280" w:lineRule="exact"/>
              <w:ind w:left="459" w:hanging="426"/>
              <w:rPr>
                <w:rFonts w:ascii="Georgia" w:hAnsi="Georgia" w:cs="Arial"/>
                <w:color w:val="000000"/>
                <w:sz w:val="22"/>
                <w:szCs w:val="22"/>
              </w:rPr>
            </w:pPr>
            <w:r w:rsidRPr="0011015D">
              <w:rPr>
                <w:rFonts w:ascii="Georgia" w:hAnsi="Georgia" w:cs="Arial"/>
                <w:color w:val="000000"/>
                <w:sz w:val="22"/>
                <w:szCs w:val="22"/>
              </w:rPr>
              <w:t xml:space="preserve">Company view of incident – degree of severity, possible uncertainties or disputed facts to be </w:t>
            </w:r>
            <w:r w:rsidRPr="0011015D">
              <w:rPr>
                <w:rFonts w:ascii="Georgia" w:hAnsi="Georgia" w:cs="Arial"/>
                <w:color w:val="000000"/>
                <w:sz w:val="22"/>
                <w:szCs w:val="22"/>
              </w:rPr>
              <w:t>investigated.</w:t>
            </w:r>
          </w:p>
          <w:p w14:paraId="3FB01D1F" w14:textId="77777777" w:rsidR="00FC607D" w:rsidRPr="0011015D" w:rsidRDefault="000748BF" w:rsidP="00586D14">
            <w:pPr>
              <w:pStyle w:val="ListParagraph"/>
              <w:keepNext/>
              <w:numPr>
                <w:ilvl w:val="0"/>
                <w:numId w:val="11"/>
              </w:numPr>
              <w:spacing w:line="280" w:lineRule="exact"/>
              <w:ind w:left="459" w:hanging="426"/>
              <w:rPr>
                <w:rFonts w:ascii="Georgia" w:hAnsi="Georgia" w:cs="Arial"/>
                <w:color w:val="000000"/>
                <w:sz w:val="22"/>
                <w:szCs w:val="22"/>
              </w:rPr>
            </w:pPr>
            <w:r w:rsidRPr="0011015D">
              <w:rPr>
                <w:rFonts w:ascii="Georgia" w:hAnsi="Georgia" w:cs="Arial"/>
                <w:color w:val="000000"/>
                <w:sz w:val="22"/>
                <w:szCs w:val="22"/>
              </w:rPr>
              <w:t>Status of investigation.</w:t>
            </w:r>
          </w:p>
          <w:p w14:paraId="3FB01D20" w14:textId="77777777" w:rsidR="00FC607D" w:rsidRPr="0011015D" w:rsidRDefault="000748BF" w:rsidP="00586D14">
            <w:pPr>
              <w:pStyle w:val="ListParagraph"/>
              <w:keepNext/>
              <w:numPr>
                <w:ilvl w:val="0"/>
                <w:numId w:val="11"/>
              </w:numPr>
              <w:spacing w:line="280" w:lineRule="exact"/>
              <w:ind w:left="459" w:hanging="426"/>
              <w:rPr>
                <w:rFonts w:ascii="Georgia" w:hAnsi="Georgia" w:cs="Arial"/>
                <w:color w:val="000000"/>
                <w:sz w:val="22"/>
                <w:szCs w:val="22"/>
              </w:rPr>
            </w:pPr>
            <w:r w:rsidRPr="0011015D">
              <w:rPr>
                <w:rFonts w:ascii="Georgia" w:hAnsi="Georgia" w:cs="Arial"/>
                <w:color w:val="000000"/>
                <w:sz w:val="22"/>
                <w:szCs w:val="22"/>
              </w:rPr>
              <w:t>Reports produced (and outstanding, if any).</w:t>
            </w:r>
          </w:p>
          <w:p w14:paraId="3FB01D21" w14:textId="77777777" w:rsidR="00FC607D" w:rsidRPr="0011015D" w:rsidRDefault="000748BF" w:rsidP="00586D14">
            <w:pPr>
              <w:pStyle w:val="ListParagraph"/>
              <w:keepNext/>
              <w:numPr>
                <w:ilvl w:val="0"/>
                <w:numId w:val="11"/>
              </w:numPr>
              <w:spacing w:line="280" w:lineRule="exact"/>
              <w:ind w:left="459" w:hanging="426"/>
              <w:rPr>
                <w:rFonts w:ascii="Georgia" w:hAnsi="Georgia" w:cs="Arial"/>
                <w:color w:val="000000"/>
                <w:sz w:val="22"/>
                <w:szCs w:val="22"/>
              </w:rPr>
            </w:pPr>
            <w:r w:rsidRPr="0011015D">
              <w:rPr>
                <w:rFonts w:ascii="Georgia" w:hAnsi="Georgia" w:cs="Arial"/>
                <w:color w:val="000000"/>
                <w:sz w:val="22"/>
                <w:szCs w:val="22"/>
              </w:rPr>
              <w:t>Immediate actions taken by company and other parties.</w:t>
            </w:r>
          </w:p>
          <w:p w14:paraId="3FB01D22" w14:textId="77777777" w:rsidR="00FC607D" w:rsidRPr="0011015D" w:rsidRDefault="000748BF" w:rsidP="00586D14">
            <w:pPr>
              <w:pStyle w:val="ListParagraph"/>
              <w:keepNext/>
              <w:numPr>
                <w:ilvl w:val="0"/>
                <w:numId w:val="11"/>
              </w:numPr>
              <w:spacing w:line="280" w:lineRule="exact"/>
              <w:ind w:left="459" w:hanging="426"/>
              <w:rPr>
                <w:rFonts w:ascii="Georgia" w:hAnsi="Georgia" w:cs="Arial"/>
                <w:color w:val="000000"/>
                <w:sz w:val="22"/>
                <w:szCs w:val="22"/>
              </w:rPr>
            </w:pPr>
            <w:r w:rsidRPr="0011015D">
              <w:rPr>
                <w:rFonts w:ascii="Georgia" w:hAnsi="Georgia" w:cs="Arial"/>
                <w:color w:val="000000"/>
                <w:sz w:val="22"/>
                <w:szCs w:val="22"/>
              </w:rPr>
              <w:t>Further actions to prevent re-occurrence of incident.</w:t>
            </w:r>
          </w:p>
          <w:p w14:paraId="3FB01D23" w14:textId="77777777" w:rsidR="00FC607D" w:rsidRPr="0011015D" w:rsidRDefault="000748BF" w:rsidP="00586D14">
            <w:pPr>
              <w:pStyle w:val="ListParagraph"/>
              <w:keepNext/>
              <w:numPr>
                <w:ilvl w:val="0"/>
                <w:numId w:val="11"/>
              </w:numPr>
              <w:spacing w:line="280" w:lineRule="exact"/>
              <w:ind w:left="459" w:hanging="426"/>
              <w:rPr>
                <w:rFonts w:ascii="Georgia" w:hAnsi="Georgia" w:cs="Arial"/>
                <w:color w:val="000000"/>
                <w:sz w:val="22"/>
                <w:szCs w:val="22"/>
              </w:rPr>
            </w:pPr>
            <w:r w:rsidRPr="0011015D">
              <w:rPr>
                <w:rFonts w:ascii="Georgia" w:hAnsi="Georgia" w:cs="Arial"/>
                <w:color w:val="000000"/>
                <w:sz w:val="22"/>
                <w:szCs w:val="22"/>
              </w:rPr>
              <w:t>Monitoring/reporting arrangements to follow up on efficacy of act</w:t>
            </w:r>
            <w:r w:rsidRPr="0011015D">
              <w:rPr>
                <w:rFonts w:ascii="Georgia" w:hAnsi="Georgia" w:cs="Arial"/>
                <w:color w:val="000000"/>
                <w:sz w:val="22"/>
                <w:szCs w:val="22"/>
              </w:rPr>
              <w:t>ions taken.</w:t>
            </w:r>
          </w:p>
          <w:p w14:paraId="3FB01D24" w14:textId="77777777" w:rsidR="00FC607D" w:rsidRPr="0011015D" w:rsidRDefault="000748BF" w:rsidP="00586D14">
            <w:pPr>
              <w:pStyle w:val="ListParagraph"/>
              <w:keepNext/>
              <w:numPr>
                <w:ilvl w:val="0"/>
                <w:numId w:val="11"/>
              </w:numPr>
              <w:spacing w:line="280" w:lineRule="exact"/>
              <w:ind w:left="459" w:hanging="426"/>
              <w:rPr>
                <w:rFonts w:ascii="Georgia" w:hAnsi="Georgia" w:cs="Arial"/>
                <w:color w:val="000000"/>
                <w:sz w:val="22"/>
                <w:szCs w:val="22"/>
              </w:rPr>
            </w:pPr>
            <w:r w:rsidRPr="0011015D">
              <w:rPr>
                <w:rFonts w:ascii="Georgia" w:hAnsi="Georgia" w:cs="Arial"/>
                <w:color w:val="000000"/>
                <w:sz w:val="22"/>
                <w:szCs w:val="22"/>
              </w:rPr>
              <w:t>Results to date of actions taken.</w:t>
            </w:r>
          </w:p>
        </w:tc>
      </w:tr>
      <w:tr w:rsidR="005E49CA" w14:paraId="3FB01D28" w14:textId="77777777" w:rsidTr="00FC607D">
        <w:trPr>
          <w:trHeight w:val="525"/>
        </w:trPr>
        <w:tc>
          <w:tcPr>
            <w:tcW w:w="2142" w:type="dxa"/>
            <w:tcBorders>
              <w:top w:val="nil"/>
              <w:left w:val="single" w:sz="8" w:space="0" w:color="auto"/>
              <w:bottom w:val="single" w:sz="8" w:space="0" w:color="auto"/>
              <w:right w:val="single" w:sz="4" w:space="0" w:color="auto"/>
            </w:tcBorders>
            <w:shd w:val="clear" w:color="000000" w:fill="333399"/>
            <w:hideMark/>
          </w:tcPr>
          <w:p w14:paraId="3FB01D26" w14:textId="77777777" w:rsidR="00FC607D" w:rsidRPr="0011015D" w:rsidRDefault="000748BF" w:rsidP="00FC607D">
            <w:pPr>
              <w:spacing w:after="240"/>
              <w:rPr>
                <w:rFonts w:ascii="Georgia" w:hAnsi="Georgia" w:cs="Arial"/>
                <w:b/>
                <w:bCs/>
                <w:color w:val="FFFFFF"/>
                <w:szCs w:val="22"/>
              </w:rPr>
            </w:pPr>
            <w:r w:rsidRPr="0011015D">
              <w:rPr>
                <w:rFonts w:ascii="Georgia" w:hAnsi="Georgia" w:cs="Arial"/>
                <w:b/>
                <w:bCs/>
                <w:color w:val="FFFFFF"/>
                <w:szCs w:val="22"/>
              </w:rPr>
              <w:t>Conclusion</w:t>
            </w:r>
          </w:p>
        </w:tc>
        <w:tc>
          <w:tcPr>
            <w:tcW w:w="7087" w:type="dxa"/>
            <w:tcBorders>
              <w:top w:val="nil"/>
              <w:left w:val="nil"/>
              <w:bottom w:val="single" w:sz="8" w:space="0" w:color="auto"/>
              <w:right w:val="single" w:sz="8" w:space="0" w:color="auto"/>
            </w:tcBorders>
            <w:shd w:val="clear" w:color="auto" w:fill="auto"/>
            <w:hideMark/>
          </w:tcPr>
          <w:p w14:paraId="3FB01D27" w14:textId="77777777" w:rsidR="00FC607D" w:rsidRPr="0011015D" w:rsidRDefault="000748BF" w:rsidP="00FC607D">
            <w:pPr>
              <w:spacing w:after="240"/>
              <w:rPr>
                <w:rFonts w:ascii="Georgia" w:hAnsi="Georgia" w:cs="Arial"/>
                <w:color w:val="000000"/>
                <w:szCs w:val="22"/>
              </w:rPr>
            </w:pPr>
            <w:r w:rsidRPr="0011015D">
              <w:rPr>
                <w:rFonts w:ascii="Georgia" w:hAnsi="Georgia" w:cs="Arial"/>
                <w:color w:val="000000"/>
                <w:szCs w:val="22"/>
              </w:rPr>
              <w:t xml:space="preserve">Next steps: whether to close the case, or proceed investigations, how to do so, and the rationale for it. </w:t>
            </w:r>
          </w:p>
        </w:tc>
      </w:tr>
    </w:tbl>
    <w:p w14:paraId="3FB01D29" w14:textId="77777777" w:rsidR="00B93D66" w:rsidRPr="0011015D" w:rsidRDefault="000748BF" w:rsidP="00B93D66">
      <w:pPr>
        <w:pStyle w:val="BodyText"/>
        <w:spacing w:after="240"/>
        <w:rPr>
          <w:rFonts w:ascii="Georgia" w:hAnsi="Georgia"/>
          <w:w w:val="0"/>
        </w:rPr>
      </w:pPr>
    </w:p>
    <w:p w14:paraId="3FB01D2A" w14:textId="77777777" w:rsidR="00FC607D" w:rsidRPr="0011015D" w:rsidRDefault="000748BF" w:rsidP="0011015D">
      <w:pPr>
        <w:pStyle w:val="draftingnote"/>
        <w:rPr>
          <w:w w:val="0"/>
        </w:rPr>
      </w:pPr>
      <w:r w:rsidRPr="0011015D">
        <w:rPr>
          <w:w w:val="0"/>
        </w:rPr>
        <w:lastRenderedPageBreak/>
        <w:t xml:space="preserve">Financial </w:t>
      </w:r>
      <w:r w:rsidRPr="0011015D">
        <w:rPr>
          <w:w w:val="0"/>
        </w:rPr>
        <w:t>institutions only</w:t>
      </w:r>
    </w:p>
    <w:p w14:paraId="3FB01D2B" w14:textId="77777777" w:rsidR="00FC607D" w:rsidRPr="0011015D" w:rsidRDefault="000748BF" w:rsidP="00633C01">
      <w:pPr>
        <w:pStyle w:val="Heading3"/>
        <w:rPr>
          <w:rFonts w:ascii="Georgia" w:hAnsi="Georgia"/>
          <w:i/>
        </w:rPr>
      </w:pPr>
      <w:bookmarkStart w:id="72" w:name="_Toc451759976"/>
      <w:bookmarkStart w:id="73" w:name="_Toc368064318"/>
      <w:bookmarkStart w:id="74" w:name="_Toc456289241"/>
      <w:bookmarkStart w:id="75" w:name="_Toc462908788"/>
      <w:r w:rsidRPr="0011015D">
        <w:rPr>
          <w:rFonts w:ascii="Georgia" w:hAnsi="Georgia"/>
          <w:i/>
        </w:rPr>
        <w:t xml:space="preserve">Part D - High Risk Client </w:t>
      </w:r>
      <w:bookmarkEnd w:id="72"/>
      <w:r>
        <w:rPr>
          <w:rFonts w:ascii="Georgia" w:hAnsi="Georgia"/>
          <w:i/>
        </w:rPr>
        <w:t>i</w:t>
      </w:r>
      <w:r w:rsidRPr="0011015D">
        <w:rPr>
          <w:rFonts w:ascii="Georgia" w:hAnsi="Georgia"/>
          <w:i/>
        </w:rPr>
        <w:t xml:space="preserve">ndustry </w:t>
      </w:r>
      <w:r>
        <w:rPr>
          <w:rFonts w:ascii="Georgia" w:hAnsi="Georgia"/>
          <w:i/>
        </w:rPr>
        <w:t>s</w:t>
      </w:r>
      <w:r w:rsidRPr="0011015D">
        <w:rPr>
          <w:rFonts w:ascii="Georgia" w:hAnsi="Georgia"/>
          <w:i/>
        </w:rPr>
        <w:t>ectors</w:t>
      </w:r>
      <w:bookmarkEnd w:id="73"/>
      <w:bookmarkEnd w:id="74"/>
      <w:bookmarkEnd w:id="75"/>
    </w:p>
    <w:p w14:paraId="3FB01D2C" w14:textId="77777777" w:rsidR="00FC607D" w:rsidRPr="0011015D" w:rsidRDefault="000748BF" w:rsidP="00B93D66">
      <w:pPr>
        <w:spacing w:after="240"/>
        <w:jc w:val="both"/>
        <w:rPr>
          <w:rFonts w:ascii="Georgia" w:hAnsi="Georgia" w:cs="Arial"/>
          <w:i/>
          <w:szCs w:val="22"/>
        </w:rPr>
      </w:pPr>
      <w:r w:rsidRPr="0011015D">
        <w:rPr>
          <w:rFonts w:ascii="Georgia" w:hAnsi="Georgia" w:cs="Arial"/>
          <w:i/>
          <w:szCs w:val="22"/>
        </w:rPr>
        <w:t xml:space="preserve">The following </w:t>
      </w:r>
      <w:r w:rsidRPr="0011015D">
        <w:rPr>
          <w:rFonts w:ascii="Georgia" w:hAnsi="Georgia" w:cs="Arial"/>
          <w:i/>
          <w:szCs w:val="22"/>
        </w:rPr>
        <w:t>sectors are considered usually to be high risk industry sectors, for both new developments (</w:t>
      </w:r>
      <w:r w:rsidRPr="0011015D">
        <w:rPr>
          <w:rFonts w:ascii="Georgia" w:hAnsi="Georgia" w:cs="Arial"/>
          <w:i/>
          <w:szCs w:val="22"/>
        </w:rPr>
        <w:t>g</w:t>
      </w:r>
      <w:r w:rsidRPr="0011015D">
        <w:rPr>
          <w:rFonts w:ascii="Georgia" w:hAnsi="Georgia" w:cs="Arial"/>
          <w:i/>
          <w:szCs w:val="22"/>
        </w:rPr>
        <w:t xml:space="preserve">reenfield) as for existing companies (brownfield). </w:t>
      </w:r>
      <w:r w:rsidRPr="0011015D">
        <w:rPr>
          <w:rFonts w:ascii="Georgia" w:hAnsi="Georgia" w:cs="Arial"/>
          <w:i/>
          <w:szCs w:val="22"/>
        </w:rPr>
        <w:t xml:space="preserve">The list is derived from the EDFI Harmonized List of High Risk Sectors (October 2012).  </w:t>
      </w:r>
      <w:r w:rsidRPr="0011015D">
        <w:rPr>
          <w:rFonts w:ascii="Georgia" w:hAnsi="Georgia" w:cs="Arial"/>
          <w:i/>
          <w:szCs w:val="22"/>
        </w:rPr>
        <w:t>Depending on project spe</w:t>
      </w:r>
      <w:r w:rsidRPr="0011015D">
        <w:rPr>
          <w:rFonts w:ascii="Georgia" w:hAnsi="Georgia" w:cs="Arial"/>
          <w:i/>
          <w:szCs w:val="22"/>
        </w:rPr>
        <w:t xml:space="preserve">cifics the environmental and social risks of individual projects may </w:t>
      </w:r>
      <w:r w:rsidRPr="0011015D">
        <w:rPr>
          <w:rFonts w:ascii="Georgia" w:hAnsi="Georgia" w:cs="Arial"/>
          <w:i/>
          <w:szCs w:val="22"/>
        </w:rPr>
        <w:t xml:space="preserve">be </w:t>
      </w:r>
      <w:r w:rsidRPr="0011015D">
        <w:rPr>
          <w:rFonts w:ascii="Georgia" w:hAnsi="Georgia" w:cs="Arial"/>
          <w:i/>
          <w:szCs w:val="22"/>
        </w:rPr>
        <w:t xml:space="preserve">considered to be medium. </w:t>
      </w:r>
      <w:r w:rsidRPr="0011015D">
        <w:rPr>
          <w:rFonts w:ascii="Georgia" w:hAnsi="Georgia" w:cs="Arial"/>
          <w:i/>
          <w:szCs w:val="22"/>
        </w:rPr>
        <w:t xml:space="preserve"> </w:t>
      </w:r>
      <w:r w:rsidRPr="0011015D">
        <w:rPr>
          <w:rFonts w:ascii="Georgia" w:hAnsi="Georgia" w:cs="Arial"/>
          <w:i/>
          <w:szCs w:val="22"/>
        </w:rPr>
        <w:t>In such cases detailed rationales for categori</w:t>
      </w:r>
      <w:r w:rsidRPr="0011015D">
        <w:rPr>
          <w:rFonts w:ascii="Georgia" w:hAnsi="Georgia" w:cs="Arial"/>
          <w:i/>
          <w:szCs w:val="22"/>
        </w:rPr>
        <w:t>s</w:t>
      </w:r>
      <w:r w:rsidRPr="0011015D">
        <w:rPr>
          <w:rFonts w:ascii="Georgia" w:hAnsi="Georgia" w:cs="Arial"/>
          <w:i/>
          <w:szCs w:val="22"/>
        </w:rPr>
        <w:t>ation must be documented.</w:t>
      </w:r>
    </w:p>
    <w:p w14:paraId="3FB01D2D" w14:textId="77777777" w:rsidR="00FC607D" w:rsidRPr="0011015D" w:rsidRDefault="000748BF" w:rsidP="00B93D66">
      <w:pPr>
        <w:spacing w:after="240"/>
        <w:jc w:val="both"/>
        <w:rPr>
          <w:rFonts w:ascii="Georgia" w:hAnsi="Georgia" w:cs="Arial"/>
          <w:i/>
          <w:szCs w:val="22"/>
        </w:rPr>
      </w:pPr>
      <w:r w:rsidRPr="0011015D">
        <w:rPr>
          <w:rFonts w:ascii="Georgia" w:hAnsi="Georgia" w:cs="Arial"/>
          <w:i/>
          <w:szCs w:val="22"/>
        </w:rPr>
        <w:t>The sectors as listed below cover the activities as defined under the heading ‘Applic</w:t>
      </w:r>
      <w:r w:rsidRPr="0011015D">
        <w:rPr>
          <w:rFonts w:ascii="Georgia" w:hAnsi="Georgia" w:cs="Arial"/>
          <w:i/>
          <w:szCs w:val="22"/>
        </w:rPr>
        <w:t xml:space="preserve">ability’ of the corresponding IFC Environmental, Health, and Safety Guidelines in the IFC Performance Standards or directly trigger IFC Performance Standard 5-8. </w:t>
      </w:r>
    </w:p>
    <w:p w14:paraId="3FB01D2E" w14:textId="77777777" w:rsidR="00FC607D" w:rsidRPr="0011015D" w:rsidRDefault="000748BF" w:rsidP="00B93D66">
      <w:pPr>
        <w:keepNext/>
        <w:spacing w:after="240"/>
        <w:rPr>
          <w:rFonts w:ascii="Georgia" w:hAnsi="Georgia" w:cs="Arial"/>
          <w:b/>
          <w:i/>
          <w:szCs w:val="22"/>
        </w:rPr>
      </w:pPr>
      <w:r w:rsidRPr="0011015D">
        <w:rPr>
          <w:rFonts w:ascii="Georgia" w:hAnsi="Georgia" w:cs="Arial"/>
          <w:b/>
          <w:i/>
          <w:szCs w:val="22"/>
        </w:rPr>
        <w:t>Infrastructure</w:t>
      </w:r>
    </w:p>
    <w:p w14:paraId="3FB01D2F" w14:textId="77777777" w:rsidR="00FC607D" w:rsidRPr="0011015D" w:rsidRDefault="000748BF" w:rsidP="00586D14">
      <w:pPr>
        <w:pStyle w:val="ListParagraph"/>
        <w:numPr>
          <w:ilvl w:val="0"/>
          <w:numId w:val="12"/>
        </w:numPr>
        <w:spacing w:line="280" w:lineRule="exact"/>
        <w:rPr>
          <w:rFonts w:ascii="Georgia" w:hAnsi="Georgia" w:cs="Arial"/>
          <w:i/>
          <w:sz w:val="22"/>
          <w:szCs w:val="22"/>
        </w:rPr>
      </w:pPr>
      <w:r w:rsidRPr="0011015D">
        <w:rPr>
          <w:rFonts w:ascii="Georgia" w:hAnsi="Georgia" w:cs="Arial"/>
          <w:i/>
          <w:sz w:val="22"/>
          <w:szCs w:val="22"/>
        </w:rPr>
        <w:t>Railways</w:t>
      </w:r>
    </w:p>
    <w:p w14:paraId="3FB01D30" w14:textId="77777777" w:rsidR="00FC607D" w:rsidRPr="0011015D" w:rsidRDefault="000748BF" w:rsidP="00586D14">
      <w:pPr>
        <w:pStyle w:val="ListParagraph"/>
        <w:numPr>
          <w:ilvl w:val="0"/>
          <w:numId w:val="12"/>
        </w:numPr>
        <w:spacing w:line="280" w:lineRule="exact"/>
        <w:rPr>
          <w:rFonts w:ascii="Georgia" w:hAnsi="Georgia" w:cs="Arial"/>
          <w:i/>
          <w:sz w:val="22"/>
          <w:szCs w:val="22"/>
        </w:rPr>
      </w:pPr>
      <w:r w:rsidRPr="0011015D">
        <w:rPr>
          <w:rFonts w:ascii="Georgia" w:hAnsi="Georgia" w:cs="Arial"/>
          <w:i/>
          <w:sz w:val="22"/>
          <w:szCs w:val="22"/>
        </w:rPr>
        <w:t>Ports, harbours and terminals</w:t>
      </w:r>
    </w:p>
    <w:p w14:paraId="3FB01D31" w14:textId="77777777" w:rsidR="00FC607D" w:rsidRPr="0011015D" w:rsidRDefault="000748BF" w:rsidP="00586D14">
      <w:pPr>
        <w:pStyle w:val="ListParagraph"/>
        <w:numPr>
          <w:ilvl w:val="0"/>
          <w:numId w:val="12"/>
        </w:numPr>
        <w:spacing w:line="280" w:lineRule="exact"/>
        <w:rPr>
          <w:rFonts w:ascii="Georgia" w:hAnsi="Georgia" w:cs="Arial"/>
          <w:i/>
          <w:sz w:val="22"/>
          <w:szCs w:val="22"/>
        </w:rPr>
      </w:pPr>
      <w:r w:rsidRPr="0011015D">
        <w:rPr>
          <w:rFonts w:ascii="Georgia" w:hAnsi="Georgia" w:cs="Arial"/>
          <w:i/>
          <w:sz w:val="22"/>
          <w:szCs w:val="22"/>
        </w:rPr>
        <w:t>Airports</w:t>
      </w:r>
    </w:p>
    <w:p w14:paraId="3FB01D32" w14:textId="77777777" w:rsidR="00FC607D" w:rsidRPr="0011015D" w:rsidRDefault="000748BF" w:rsidP="00586D14">
      <w:pPr>
        <w:pStyle w:val="ListParagraph"/>
        <w:numPr>
          <w:ilvl w:val="0"/>
          <w:numId w:val="12"/>
        </w:numPr>
        <w:spacing w:line="280" w:lineRule="exact"/>
        <w:rPr>
          <w:rFonts w:ascii="Georgia" w:hAnsi="Georgia" w:cs="Arial"/>
          <w:i/>
          <w:sz w:val="22"/>
          <w:szCs w:val="22"/>
        </w:rPr>
      </w:pPr>
      <w:r w:rsidRPr="0011015D">
        <w:rPr>
          <w:rFonts w:ascii="Georgia" w:hAnsi="Georgia" w:cs="Arial"/>
          <w:i/>
          <w:sz w:val="22"/>
          <w:szCs w:val="22"/>
        </w:rPr>
        <w:t>Toll roads</w:t>
      </w:r>
    </w:p>
    <w:p w14:paraId="3FB01D33" w14:textId="77777777" w:rsidR="00FC607D" w:rsidRPr="0011015D" w:rsidRDefault="000748BF" w:rsidP="00586D14">
      <w:pPr>
        <w:pStyle w:val="ListParagraph"/>
        <w:numPr>
          <w:ilvl w:val="0"/>
          <w:numId w:val="12"/>
        </w:numPr>
        <w:spacing w:line="280" w:lineRule="exact"/>
        <w:rPr>
          <w:rFonts w:ascii="Georgia" w:hAnsi="Georgia" w:cs="Arial"/>
          <w:i/>
          <w:sz w:val="22"/>
          <w:szCs w:val="22"/>
        </w:rPr>
      </w:pPr>
      <w:r w:rsidRPr="0011015D">
        <w:rPr>
          <w:rFonts w:ascii="Georgia" w:hAnsi="Georgia" w:cs="Arial"/>
          <w:i/>
          <w:sz w:val="22"/>
          <w:szCs w:val="22"/>
        </w:rPr>
        <w:t xml:space="preserve">Crude oil and </w:t>
      </w:r>
      <w:r w:rsidRPr="0011015D">
        <w:rPr>
          <w:rFonts w:ascii="Georgia" w:hAnsi="Georgia" w:cs="Arial"/>
          <w:i/>
          <w:sz w:val="22"/>
          <w:szCs w:val="22"/>
        </w:rPr>
        <w:t>petroleum product terminals</w:t>
      </w:r>
    </w:p>
    <w:p w14:paraId="3FB01D34" w14:textId="77777777" w:rsidR="00FC607D" w:rsidRPr="0011015D" w:rsidRDefault="000748BF" w:rsidP="00586D14">
      <w:pPr>
        <w:pStyle w:val="ListParagraph"/>
        <w:numPr>
          <w:ilvl w:val="0"/>
          <w:numId w:val="12"/>
        </w:numPr>
        <w:spacing w:line="280" w:lineRule="exact"/>
        <w:rPr>
          <w:rFonts w:ascii="Georgia" w:hAnsi="Georgia" w:cs="Arial"/>
          <w:i/>
          <w:sz w:val="22"/>
          <w:szCs w:val="22"/>
        </w:rPr>
      </w:pPr>
      <w:r w:rsidRPr="0011015D">
        <w:rPr>
          <w:rFonts w:ascii="Georgia" w:hAnsi="Georgia" w:cs="Arial"/>
          <w:i/>
          <w:sz w:val="22"/>
          <w:szCs w:val="22"/>
        </w:rPr>
        <w:t>Pipelines</w:t>
      </w:r>
    </w:p>
    <w:p w14:paraId="3FB01D35" w14:textId="77777777" w:rsidR="00FC607D" w:rsidRPr="0011015D" w:rsidRDefault="000748BF" w:rsidP="00586D14">
      <w:pPr>
        <w:pStyle w:val="ListParagraph"/>
        <w:numPr>
          <w:ilvl w:val="0"/>
          <w:numId w:val="12"/>
        </w:numPr>
        <w:spacing w:line="280" w:lineRule="exact"/>
        <w:rPr>
          <w:rFonts w:ascii="Georgia" w:hAnsi="Georgia" w:cs="Arial"/>
          <w:i/>
          <w:sz w:val="22"/>
          <w:szCs w:val="22"/>
        </w:rPr>
      </w:pPr>
      <w:r w:rsidRPr="0011015D">
        <w:rPr>
          <w:rFonts w:ascii="Georgia" w:hAnsi="Georgia" w:cs="Arial"/>
          <w:i/>
          <w:sz w:val="22"/>
          <w:szCs w:val="22"/>
        </w:rPr>
        <w:t>Long distance overhead transmission lines</w:t>
      </w:r>
    </w:p>
    <w:p w14:paraId="3FB01D36" w14:textId="77777777" w:rsidR="00FC607D" w:rsidRPr="0011015D" w:rsidRDefault="000748BF" w:rsidP="00586D14">
      <w:pPr>
        <w:pStyle w:val="ListParagraph"/>
        <w:numPr>
          <w:ilvl w:val="0"/>
          <w:numId w:val="12"/>
        </w:numPr>
        <w:spacing w:line="280" w:lineRule="exact"/>
        <w:rPr>
          <w:rFonts w:ascii="Georgia" w:hAnsi="Georgia" w:cs="Arial"/>
          <w:i/>
          <w:sz w:val="22"/>
          <w:szCs w:val="22"/>
        </w:rPr>
      </w:pPr>
      <w:r w:rsidRPr="0011015D">
        <w:rPr>
          <w:rFonts w:ascii="Georgia" w:hAnsi="Georgia" w:cs="Arial"/>
          <w:i/>
          <w:sz w:val="22"/>
          <w:szCs w:val="22"/>
        </w:rPr>
        <w:t>Large dams (hydro power plants / irrigation/water supply)</w:t>
      </w:r>
    </w:p>
    <w:p w14:paraId="3FB01D37" w14:textId="77777777" w:rsidR="00FC607D" w:rsidRPr="0011015D" w:rsidRDefault="000748BF" w:rsidP="00586D14">
      <w:pPr>
        <w:pStyle w:val="ListParagraph"/>
        <w:numPr>
          <w:ilvl w:val="0"/>
          <w:numId w:val="12"/>
        </w:numPr>
        <w:spacing w:line="280" w:lineRule="exact"/>
        <w:rPr>
          <w:rFonts w:ascii="Georgia" w:hAnsi="Georgia" w:cs="Arial"/>
          <w:i/>
          <w:sz w:val="22"/>
          <w:szCs w:val="22"/>
        </w:rPr>
      </w:pPr>
      <w:r w:rsidRPr="0011015D">
        <w:rPr>
          <w:rFonts w:ascii="Georgia" w:hAnsi="Georgia" w:cs="Arial"/>
          <w:i/>
          <w:sz w:val="22"/>
          <w:szCs w:val="22"/>
        </w:rPr>
        <w:t>River-run-off hydro power plants (&gt; 50 MW)</w:t>
      </w:r>
    </w:p>
    <w:p w14:paraId="3FB01D38" w14:textId="77777777" w:rsidR="00FC607D" w:rsidRPr="0011015D" w:rsidRDefault="000748BF" w:rsidP="00586D14">
      <w:pPr>
        <w:pStyle w:val="ListParagraph"/>
        <w:numPr>
          <w:ilvl w:val="0"/>
          <w:numId w:val="12"/>
        </w:numPr>
        <w:spacing w:line="280" w:lineRule="exact"/>
        <w:rPr>
          <w:rFonts w:ascii="Georgia" w:hAnsi="Georgia" w:cs="Arial"/>
          <w:i/>
          <w:sz w:val="22"/>
          <w:szCs w:val="22"/>
        </w:rPr>
      </w:pPr>
      <w:r w:rsidRPr="0011015D">
        <w:rPr>
          <w:rFonts w:ascii="Georgia" w:hAnsi="Georgia" w:cs="Arial"/>
          <w:i/>
          <w:sz w:val="22"/>
          <w:szCs w:val="22"/>
        </w:rPr>
        <w:t>Waste management / Waste treatment facilities</w:t>
      </w:r>
    </w:p>
    <w:p w14:paraId="3FB01D39" w14:textId="77777777" w:rsidR="00FC607D" w:rsidRPr="0011015D" w:rsidRDefault="000748BF" w:rsidP="00586D14">
      <w:pPr>
        <w:pStyle w:val="ListParagraph"/>
        <w:numPr>
          <w:ilvl w:val="0"/>
          <w:numId w:val="12"/>
        </w:numPr>
        <w:spacing w:line="280" w:lineRule="exact"/>
        <w:rPr>
          <w:rFonts w:ascii="Georgia" w:hAnsi="Georgia" w:cs="Arial"/>
          <w:i/>
          <w:sz w:val="22"/>
          <w:szCs w:val="22"/>
        </w:rPr>
      </w:pPr>
      <w:r w:rsidRPr="0011015D">
        <w:rPr>
          <w:rFonts w:ascii="Georgia" w:hAnsi="Georgia" w:cs="Arial"/>
          <w:i/>
          <w:sz w:val="22"/>
          <w:szCs w:val="22"/>
        </w:rPr>
        <w:t xml:space="preserve">Thermal power: new plants (&gt; </w:t>
      </w:r>
      <w:r w:rsidRPr="0011015D">
        <w:rPr>
          <w:rFonts w:ascii="Georgia" w:hAnsi="Georgia" w:cs="Arial"/>
          <w:i/>
          <w:sz w:val="22"/>
          <w:szCs w:val="22"/>
        </w:rPr>
        <w:t>50 MW)</w:t>
      </w:r>
    </w:p>
    <w:p w14:paraId="3FB01D3A" w14:textId="77777777" w:rsidR="00FC607D" w:rsidRPr="0011015D" w:rsidRDefault="000748BF" w:rsidP="00586D14">
      <w:pPr>
        <w:pStyle w:val="ListParagraph"/>
        <w:numPr>
          <w:ilvl w:val="0"/>
          <w:numId w:val="12"/>
        </w:numPr>
        <w:spacing w:line="280" w:lineRule="exact"/>
        <w:rPr>
          <w:rFonts w:ascii="Georgia" w:hAnsi="Georgia" w:cs="Arial"/>
          <w:i/>
          <w:sz w:val="22"/>
          <w:szCs w:val="22"/>
        </w:rPr>
      </w:pPr>
      <w:r w:rsidRPr="0011015D">
        <w:rPr>
          <w:rFonts w:ascii="Georgia" w:hAnsi="Georgia" w:cs="Arial"/>
          <w:i/>
          <w:sz w:val="22"/>
          <w:szCs w:val="22"/>
        </w:rPr>
        <w:t>Thermal power: existing plants (&gt; 50 MW)</w:t>
      </w:r>
    </w:p>
    <w:p w14:paraId="3FB01D3B" w14:textId="77777777" w:rsidR="00FC607D" w:rsidRPr="0011015D" w:rsidRDefault="000748BF" w:rsidP="00586D14">
      <w:pPr>
        <w:pStyle w:val="ListParagraph"/>
        <w:numPr>
          <w:ilvl w:val="0"/>
          <w:numId w:val="12"/>
        </w:numPr>
        <w:spacing w:line="280" w:lineRule="exact"/>
        <w:rPr>
          <w:rFonts w:ascii="Georgia" w:hAnsi="Georgia" w:cs="Arial"/>
          <w:i/>
          <w:sz w:val="22"/>
          <w:szCs w:val="22"/>
        </w:rPr>
      </w:pPr>
      <w:r w:rsidRPr="0011015D">
        <w:rPr>
          <w:rFonts w:ascii="Georgia" w:hAnsi="Georgia" w:cs="Arial"/>
          <w:i/>
          <w:sz w:val="22"/>
          <w:szCs w:val="22"/>
        </w:rPr>
        <w:t>Wind parks (&gt; 100 MW installed capacity)</w:t>
      </w:r>
    </w:p>
    <w:p w14:paraId="3FB01D3C" w14:textId="77777777" w:rsidR="00FC607D" w:rsidRPr="0011015D" w:rsidRDefault="000748BF" w:rsidP="00B93D66">
      <w:pPr>
        <w:keepNext/>
        <w:spacing w:after="240"/>
        <w:rPr>
          <w:rFonts w:ascii="Georgia" w:hAnsi="Georgia" w:cs="Arial"/>
          <w:b/>
          <w:i/>
          <w:szCs w:val="22"/>
        </w:rPr>
      </w:pPr>
      <w:r w:rsidRPr="0011015D">
        <w:rPr>
          <w:rFonts w:ascii="Georgia" w:hAnsi="Georgia" w:cs="Arial"/>
          <w:b/>
          <w:i/>
          <w:szCs w:val="22"/>
        </w:rPr>
        <w:t>Oil &amp; Gas</w:t>
      </w:r>
    </w:p>
    <w:p w14:paraId="3FB01D3D" w14:textId="77777777" w:rsidR="00FC607D" w:rsidRPr="0011015D" w:rsidRDefault="000748BF" w:rsidP="00586D14">
      <w:pPr>
        <w:pStyle w:val="ListParagraph"/>
        <w:numPr>
          <w:ilvl w:val="0"/>
          <w:numId w:val="12"/>
        </w:numPr>
        <w:spacing w:line="280" w:lineRule="exact"/>
        <w:rPr>
          <w:rFonts w:ascii="Georgia" w:hAnsi="Georgia" w:cs="Arial"/>
          <w:i/>
          <w:sz w:val="22"/>
          <w:szCs w:val="22"/>
        </w:rPr>
      </w:pPr>
      <w:r w:rsidRPr="0011015D">
        <w:rPr>
          <w:rFonts w:ascii="Georgia" w:hAnsi="Georgia" w:cs="Arial"/>
          <w:i/>
          <w:sz w:val="22"/>
          <w:szCs w:val="22"/>
        </w:rPr>
        <w:t>Offshore oil and gas development</w:t>
      </w:r>
    </w:p>
    <w:p w14:paraId="3FB01D3E" w14:textId="77777777" w:rsidR="00FC607D" w:rsidRPr="0011015D" w:rsidRDefault="000748BF" w:rsidP="00586D14">
      <w:pPr>
        <w:pStyle w:val="ListParagraph"/>
        <w:numPr>
          <w:ilvl w:val="0"/>
          <w:numId w:val="12"/>
        </w:numPr>
        <w:spacing w:line="280" w:lineRule="exact"/>
        <w:rPr>
          <w:rFonts w:ascii="Georgia" w:hAnsi="Georgia" w:cs="Arial"/>
          <w:i/>
          <w:sz w:val="22"/>
          <w:szCs w:val="22"/>
        </w:rPr>
      </w:pPr>
      <w:r w:rsidRPr="0011015D">
        <w:rPr>
          <w:rFonts w:ascii="Georgia" w:hAnsi="Georgia" w:cs="Arial"/>
          <w:i/>
          <w:sz w:val="22"/>
          <w:szCs w:val="22"/>
        </w:rPr>
        <w:t>Onshore oil and gas development</w:t>
      </w:r>
    </w:p>
    <w:p w14:paraId="3FB01D3F" w14:textId="77777777" w:rsidR="00FC607D" w:rsidRPr="0011015D" w:rsidRDefault="000748BF" w:rsidP="00586D14">
      <w:pPr>
        <w:pStyle w:val="ListParagraph"/>
        <w:numPr>
          <w:ilvl w:val="0"/>
          <w:numId w:val="12"/>
        </w:numPr>
        <w:spacing w:line="280" w:lineRule="exact"/>
        <w:rPr>
          <w:rFonts w:ascii="Georgia" w:hAnsi="Georgia" w:cs="Arial"/>
          <w:i/>
          <w:sz w:val="22"/>
          <w:szCs w:val="22"/>
        </w:rPr>
      </w:pPr>
      <w:r w:rsidRPr="0011015D">
        <w:rPr>
          <w:rFonts w:ascii="Georgia" w:hAnsi="Georgia" w:cs="Arial"/>
          <w:i/>
          <w:sz w:val="22"/>
          <w:szCs w:val="22"/>
        </w:rPr>
        <w:t>Liquefied natural gas (LNG) facilities</w:t>
      </w:r>
    </w:p>
    <w:p w14:paraId="3FB01D40" w14:textId="77777777" w:rsidR="00FC607D" w:rsidRPr="0011015D" w:rsidRDefault="000748BF" w:rsidP="00B93D66">
      <w:pPr>
        <w:keepNext/>
        <w:spacing w:after="240"/>
        <w:rPr>
          <w:rFonts w:ascii="Georgia" w:hAnsi="Georgia" w:cs="Arial"/>
          <w:b/>
          <w:i/>
          <w:szCs w:val="22"/>
        </w:rPr>
      </w:pPr>
      <w:r w:rsidRPr="0011015D">
        <w:rPr>
          <w:rFonts w:ascii="Georgia" w:hAnsi="Georgia" w:cs="Arial"/>
          <w:b/>
          <w:i/>
          <w:szCs w:val="22"/>
        </w:rPr>
        <w:t xml:space="preserve">Large Scale Primary Production (Plants / Animals) </w:t>
      </w:r>
    </w:p>
    <w:p w14:paraId="3FB01D41" w14:textId="77777777" w:rsidR="00FC607D" w:rsidRPr="0011015D" w:rsidRDefault="000748BF" w:rsidP="00586D14">
      <w:pPr>
        <w:pStyle w:val="ListParagraph"/>
        <w:numPr>
          <w:ilvl w:val="0"/>
          <w:numId w:val="12"/>
        </w:numPr>
        <w:spacing w:line="280" w:lineRule="exact"/>
        <w:rPr>
          <w:rFonts w:ascii="Georgia" w:hAnsi="Georgia" w:cs="Arial"/>
          <w:i/>
          <w:sz w:val="22"/>
          <w:szCs w:val="22"/>
        </w:rPr>
      </w:pPr>
      <w:r w:rsidRPr="0011015D">
        <w:rPr>
          <w:rFonts w:ascii="Georgia" w:hAnsi="Georgia" w:cs="Arial"/>
          <w:i/>
          <w:sz w:val="22"/>
          <w:szCs w:val="22"/>
        </w:rPr>
        <w:t>Plantation crop production</w:t>
      </w:r>
    </w:p>
    <w:p w14:paraId="3FB01D42" w14:textId="77777777" w:rsidR="00FC607D" w:rsidRPr="0011015D" w:rsidRDefault="000748BF" w:rsidP="00586D14">
      <w:pPr>
        <w:pStyle w:val="ListParagraph"/>
        <w:numPr>
          <w:ilvl w:val="0"/>
          <w:numId w:val="12"/>
        </w:numPr>
        <w:spacing w:line="280" w:lineRule="exact"/>
        <w:rPr>
          <w:rFonts w:ascii="Georgia" w:hAnsi="Georgia" w:cs="Arial"/>
          <w:i/>
          <w:sz w:val="22"/>
          <w:szCs w:val="22"/>
        </w:rPr>
      </w:pPr>
      <w:r w:rsidRPr="0011015D">
        <w:rPr>
          <w:rFonts w:ascii="Georgia" w:hAnsi="Georgia" w:cs="Arial"/>
          <w:i/>
          <w:sz w:val="22"/>
          <w:szCs w:val="22"/>
        </w:rPr>
        <w:t xml:space="preserve">Forestry </w:t>
      </w:r>
    </w:p>
    <w:p w14:paraId="3FB01D43" w14:textId="77777777" w:rsidR="00FC607D" w:rsidRPr="0011015D" w:rsidRDefault="000748BF" w:rsidP="00586D14">
      <w:pPr>
        <w:pStyle w:val="ListParagraph"/>
        <w:numPr>
          <w:ilvl w:val="0"/>
          <w:numId w:val="12"/>
        </w:numPr>
        <w:spacing w:line="280" w:lineRule="exact"/>
        <w:rPr>
          <w:rFonts w:ascii="Georgia" w:hAnsi="Georgia" w:cs="Arial"/>
          <w:i/>
          <w:sz w:val="22"/>
          <w:szCs w:val="22"/>
        </w:rPr>
      </w:pPr>
      <w:r w:rsidRPr="0011015D">
        <w:rPr>
          <w:rFonts w:ascii="Georgia" w:hAnsi="Georgia" w:cs="Arial"/>
          <w:i/>
          <w:sz w:val="22"/>
          <w:szCs w:val="22"/>
        </w:rPr>
        <w:t>Aquaculture</w:t>
      </w:r>
    </w:p>
    <w:p w14:paraId="3FB01D44" w14:textId="77777777" w:rsidR="00FC607D" w:rsidRPr="0011015D" w:rsidRDefault="000748BF" w:rsidP="00586D14">
      <w:pPr>
        <w:pStyle w:val="ListParagraph"/>
        <w:numPr>
          <w:ilvl w:val="0"/>
          <w:numId w:val="12"/>
        </w:numPr>
        <w:spacing w:line="280" w:lineRule="exact"/>
        <w:rPr>
          <w:rFonts w:ascii="Georgia" w:hAnsi="Georgia" w:cs="Arial"/>
          <w:i/>
          <w:sz w:val="22"/>
          <w:szCs w:val="22"/>
        </w:rPr>
      </w:pPr>
      <w:r w:rsidRPr="0011015D">
        <w:rPr>
          <w:rFonts w:ascii="Georgia" w:hAnsi="Georgia" w:cs="Arial"/>
          <w:i/>
          <w:sz w:val="22"/>
          <w:szCs w:val="22"/>
        </w:rPr>
        <w:t xml:space="preserve">Animal production </w:t>
      </w:r>
    </w:p>
    <w:p w14:paraId="3FB01D45" w14:textId="77777777" w:rsidR="00FC607D" w:rsidRPr="0011015D" w:rsidRDefault="000748BF" w:rsidP="00B93D66">
      <w:pPr>
        <w:keepNext/>
        <w:spacing w:after="240"/>
        <w:rPr>
          <w:rFonts w:ascii="Georgia" w:hAnsi="Georgia" w:cs="Arial"/>
          <w:b/>
          <w:i/>
          <w:szCs w:val="22"/>
        </w:rPr>
      </w:pPr>
      <w:r w:rsidRPr="0011015D">
        <w:rPr>
          <w:rFonts w:ascii="Georgia" w:hAnsi="Georgia" w:cs="Arial"/>
          <w:b/>
          <w:i/>
          <w:szCs w:val="22"/>
        </w:rPr>
        <w:t>Heavy Industry</w:t>
      </w:r>
    </w:p>
    <w:p w14:paraId="3FB01D46" w14:textId="77777777" w:rsidR="00FC607D" w:rsidRPr="0011015D" w:rsidRDefault="000748BF" w:rsidP="00586D14">
      <w:pPr>
        <w:pStyle w:val="ListParagraph"/>
        <w:numPr>
          <w:ilvl w:val="0"/>
          <w:numId w:val="12"/>
        </w:numPr>
        <w:spacing w:line="280" w:lineRule="exact"/>
        <w:rPr>
          <w:rFonts w:ascii="Georgia" w:hAnsi="Georgia" w:cs="Arial"/>
          <w:i/>
          <w:sz w:val="22"/>
          <w:szCs w:val="22"/>
        </w:rPr>
      </w:pPr>
      <w:r w:rsidRPr="0011015D">
        <w:rPr>
          <w:rFonts w:ascii="Georgia" w:hAnsi="Georgia" w:cs="Arial"/>
          <w:i/>
          <w:sz w:val="22"/>
          <w:szCs w:val="22"/>
        </w:rPr>
        <w:t>Cement and lime manufacturing</w:t>
      </w:r>
    </w:p>
    <w:p w14:paraId="3FB01D47" w14:textId="77777777" w:rsidR="00FC607D" w:rsidRPr="0011015D" w:rsidRDefault="000748BF" w:rsidP="00586D14">
      <w:pPr>
        <w:pStyle w:val="ListParagraph"/>
        <w:numPr>
          <w:ilvl w:val="0"/>
          <w:numId w:val="12"/>
        </w:numPr>
        <w:spacing w:line="280" w:lineRule="exact"/>
        <w:rPr>
          <w:rFonts w:ascii="Georgia" w:hAnsi="Georgia" w:cs="Arial"/>
          <w:i/>
          <w:sz w:val="22"/>
          <w:szCs w:val="22"/>
        </w:rPr>
      </w:pPr>
      <w:r w:rsidRPr="0011015D">
        <w:rPr>
          <w:rFonts w:ascii="Georgia" w:hAnsi="Georgia" w:cs="Arial"/>
          <w:i/>
          <w:sz w:val="22"/>
          <w:szCs w:val="22"/>
        </w:rPr>
        <w:t>Glass manufacturing</w:t>
      </w:r>
    </w:p>
    <w:p w14:paraId="3FB01D48" w14:textId="77777777" w:rsidR="00FC607D" w:rsidRPr="0011015D" w:rsidRDefault="000748BF" w:rsidP="00586D14">
      <w:pPr>
        <w:pStyle w:val="ListParagraph"/>
        <w:numPr>
          <w:ilvl w:val="0"/>
          <w:numId w:val="12"/>
        </w:numPr>
        <w:spacing w:line="280" w:lineRule="exact"/>
        <w:rPr>
          <w:rFonts w:ascii="Georgia" w:hAnsi="Georgia" w:cs="Arial"/>
          <w:i/>
          <w:sz w:val="22"/>
          <w:szCs w:val="22"/>
        </w:rPr>
      </w:pPr>
      <w:r w:rsidRPr="0011015D">
        <w:rPr>
          <w:rFonts w:ascii="Georgia" w:hAnsi="Georgia" w:cs="Arial"/>
          <w:i/>
          <w:sz w:val="22"/>
          <w:szCs w:val="22"/>
        </w:rPr>
        <w:t>Construction materials extraction</w:t>
      </w:r>
    </w:p>
    <w:p w14:paraId="3FB01D49" w14:textId="77777777" w:rsidR="00FC607D" w:rsidRPr="0011015D" w:rsidRDefault="000748BF" w:rsidP="00586D14">
      <w:pPr>
        <w:pStyle w:val="ListParagraph"/>
        <w:numPr>
          <w:ilvl w:val="0"/>
          <w:numId w:val="12"/>
        </w:numPr>
        <w:spacing w:line="280" w:lineRule="exact"/>
        <w:rPr>
          <w:rFonts w:ascii="Georgia" w:hAnsi="Georgia" w:cs="Arial"/>
          <w:i/>
          <w:sz w:val="22"/>
          <w:szCs w:val="22"/>
        </w:rPr>
      </w:pPr>
      <w:r w:rsidRPr="0011015D">
        <w:rPr>
          <w:rFonts w:ascii="Georgia" w:hAnsi="Georgia" w:cs="Arial"/>
          <w:i/>
          <w:sz w:val="22"/>
          <w:szCs w:val="22"/>
        </w:rPr>
        <w:t>Integrated steel mills</w:t>
      </w:r>
    </w:p>
    <w:p w14:paraId="3FB01D4A" w14:textId="77777777" w:rsidR="00FC607D" w:rsidRPr="0011015D" w:rsidRDefault="000748BF" w:rsidP="00586D14">
      <w:pPr>
        <w:pStyle w:val="ListParagraph"/>
        <w:numPr>
          <w:ilvl w:val="0"/>
          <w:numId w:val="12"/>
        </w:numPr>
        <w:spacing w:line="280" w:lineRule="exact"/>
        <w:rPr>
          <w:rFonts w:ascii="Georgia" w:hAnsi="Georgia" w:cs="Arial"/>
          <w:i/>
          <w:sz w:val="22"/>
          <w:szCs w:val="22"/>
        </w:rPr>
      </w:pPr>
      <w:r w:rsidRPr="0011015D">
        <w:rPr>
          <w:rFonts w:ascii="Georgia" w:hAnsi="Georgia" w:cs="Arial"/>
          <w:i/>
          <w:sz w:val="22"/>
          <w:szCs w:val="22"/>
        </w:rPr>
        <w:t>Base metal smelting and Refining</w:t>
      </w:r>
    </w:p>
    <w:p w14:paraId="3FB01D4B" w14:textId="77777777" w:rsidR="00FC607D" w:rsidRPr="0011015D" w:rsidRDefault="000748BF" w:rsidP="00586D14">
      <w:pPr>
        <w:pStyle w:val="ListParagraph"/>
        <w:numPr>
          <w:ilvl w:val="0"/>
          <w:numId w:val="12"/>
        </w:numPr>
        <w:spacing w:line="280" w:lineRule="exact"/>
        <w:rPr>
          <w:rFonts w:ascii="Georgia" w:hAnsi="Georgia" w:cs="Arial"/>
          <w:i/>
          <w:sz w:val="22"/>
          <w:szCs w:val="22"/>
        </w:rPr>
      </w:pPr>
      <w:r w:rsidRPr="0011015D">
        <w:rPr>
          <w:rFonts w:ascii="Georgia" w:hAnsi="Georgia" w:cs="Arial"/>
          <w:i/>
          <w:sz w:val="22"/>
          <w:szCs w:val="22"/>
        </w:rPr>
        <w:t>Pulp and paper mills</w:t>
      </w:r>
    </w:p>
    <w:p w14:paraId="3FB01D4C" w14:textId="77777777" w:rsidR="00FC607D" w:rsidRPr="0011015D" w:rsidRDefault="000748BF" w:rsidP="00586D14">
      <w:pPr>
        <w:pStyle w:val="ListParagraph"/>
        <w:numPr>
          <w:ilvl w:val="0"/>
          <w:numId w:val="12"/>
        </w:numPr>
        <w:spacing w:line="280" w:lineRule="exact"/>
        <w:rPr>
          <w:rFonts w:ascii="Georgia" w:hAnsi="Georgia" w:cs="Arial"/>
          <w:i/>
          <w:sz w:val="22"/>
          <w:szCs w:val="22"/>
        </w:rPr>
      </w:pPr>
      <w:r w:rsidRPr="0011015D">
        <w:rPr>
          <w:rFonts w:ascii="Georgia" w:hAnsi="Georgia" w:cs="Arial"/>
          <w:i/>
          <w:sz w:val="22"/>
          <w:szCs w:val="22"/>
        </w:rPr>
        <w:lastRenderedPageBreak/>
        <w:t>Foundries</w:t>
      </w:r>
    </w:p>
    <w:p w14:paraId="3FB01D4D" w14:textId="77777777" w:rsidR="00FC607D" w:rsidRPr="0011015D" w:rsidRDefault="000748BF" w:rsidP="00586D14">
      <w:pPr>
        <w:pStyle w:val="ListParagraph"/>
        <w:numPr>
          <w:ilvl w:val="0"/>
          <w:numId w:val="12"/>
        </w:numPr>
        <w:spacing w:line="280" w:lineRule="exact"/>
        <w:rPr>
          <w:rFonts w:ascii="Georgia" w:hAnsi="Georgia" w:cs="Arial"/>
          <w:i/>
          <w:sz w:val="22"/>
          <w:szCs w:val="22"/>
        </w:rPr>
      </w:pPr>
      <w:r w:rsidRPr="0011015D">
        <w:rPr>
          <w:rFonts w:ascii="Georgia" w:hAnsi="Georgia" w:cs="Arial"/>
          <w:i/>
          <w:sz w:val="22"/>
          <w:szCs w:val="22"/>
        </w:rPr>
        <w:t>Ph</w:t>
      </w:r>
      <w:r w:rsidRPr="0011015D">
        <w:rPr>
          <w:rFonts w:ascii="Georgia" w:hAnsi="Georgia" w:cs="Arial"/>
          <w:i/>
          <w:sz w:val="22"/>
          <w:szCs w:val="22"/>
        </w:rPr>
        <w:t xml:space="preserve">armaceuticals and biotechnology manufacturing </w:t>
      </w:r>
    </w:p>
    <w:p w14:paraId="3FB01D4E" w14:textId="77777777" w:rsidR="00FC607D" w:rsidRPr="0011015D" w:rsidRDefault="000748BF" w:rsidP="00586D14">
      <w:pPr>
        <w:pStyle w:val="ListParagraph"/>
        <w:numPr>
          <w:ilvl w:val="0"/>
          <w:numId w:val="12"/>
        </w:numPr>
        <w:spacing w:line="280" w:lineRule="exact"/>
        <w:rPr>
          <w:rFonts w:ascii="Georgia" w:hAnsi="Georgia" w:cs="Arial"/>
          <w:i/>
          <w:sz w:val="22"/>
          <w:szCs w:val="22"/>
        </w:rPr>
      </w:pPr>
      <w:r w:rsidRPr="0011015D">
        <w:rPr>
          <w:rFonts w:ascii="Georgia" w:hAnsi="Georgia" w:cs="Arial"/>
          <w:i/>
          <w:sz w:val="22"/>
          <w:szCs w:val="22"/>
        </w:rPr>
        <w:t>Coal processing</w:t>
      </w:r>
    </w:p>
    <w:p w14:paraId="3FB01D4F" w14:textId="77777777" w:rsidR="00FC607D" w:rsidRPr="0011015D" w:rsidRDefault="000748BF" w:rsidP="00586D14">
      <w:pPr>
        <w:pStyle w:val="ListParagraph"/>
        <w:numPr>
          <w:ilvl w:val="0"/>
          <w:numId w:val="12"/>
        </w:numPr>
        <w:spacing w:line="280" w:lineRule="exact"/>
        <w:rPr>
          <w:rFonts w:ascii="Georgia" w:hAnsi="Georgia" w:cs="Arial"/>
          <w:i/>
          <w:sz w:val="22"/>
          <w:szCs w:val="22"/>
        </w:rPr>
      </w:pPr>
      <w:r w:rsidRPr="0011015D">
        <w:rPr>
          <w:rFonts w:ascii="Georgia" w:hAnsi="Georgia" w:cs="Arial"/>
          <w:i/>
          <w:sz w:val="22"/>
          <w:szCs w:val="22"/>
        </w:rPr>
        <w:t xml:space="preserve">Natural gas processing </w:t>
      </w:r>
    </w:p>
    <w:p w14:paraId="3FB01D50" w14:textId="77777777" w:rsidR="00FC607D" w:rsidRPr="0011015D" w:rsidRDefault="000748BF" w:rsidP="00586D14">
      <w:pPr>
        <w:pStyle w:val="ListParagraph"/>
        <w:numPr>
          <w:ilvl w:val="0"/>
          <w:numId w:val="12"/>
        </w:numPr>
        <w:spacing w:line="280" w:lineRule="exact"/>
        <w:rPr>
          <w:rFonts w:ascii="Georgia" w:hAnsi="Georgia" w:cs="Arial"/>
          <w:i/>
          <w:sz w:val="22"/>
          <w:szCs w:val="22"/>
        </w:rPr>
      </w:pPr>
      <w:r w:rsidRPr="0011015D">
        <w:rPr>
          <w:rFonts w:ascii="Georgia" w:hAnsi="Georgia" w:cs="Arial"/>
          <w:i/>
          <w:sz w:val="22"/>
          <w:szCs w:val="22"/>
        </w:rPr>
        <w:t xml:space="preserve">Oleo chemicals manufacturing </w:t>
      </w:r>
    </w:p>
    <w:p w14:paraId="3FB01D51" w14:textId="77777777" w:rsidR="00FC607D" w:rsidRPr="0011015D" w:rsidRDefault="000748BF" w:rsidP="00586D14">
      <w:pPr>
        <w:pStyle w:val="ListParagraph"/>
        <w:numPr>
          <w:ilvl w:val="0"/>
          <w:numId w:val="12"/>
        </w:numPr>
        <w:spacing w:line="280" w:lineRule="exact"/>
        <w:rPr>
          <w:rFonts w:ascii="Georgia" w:hAnsi="Georgia" w:cs="Arial"/>
          <w:i/>
          <w:sz w:val="22"/>
          <w:szCs w:val="22"/>
        </w:rPr>
      </w:pPr>
      <w:r w:rsidRPr="0011015D">
        <w:rPr>
          <w:rFonts w:ascii="Georgia" w:hAnsi="Georgia" w:cs="Arial"/>
          <w:i/>
          <w:sz w:val="22"/>
          <w:szCs w:val="22"/>
        </w:rPr>
        <w:t>Nitrogenous fertili</w:t>
      </w:r>
      <w:r w:rsidRPr="0011015D">
        <w:rPr>
          <w:rFonts w:ascii="Georgia" w:hAnsi="Georgia" w:cs="Arial"/>
          <w:i/>
          <w:sz w:val="22"/>
          <w:szCs w:val="22"/>
        </w:rPr>
        <w:t>s</w:t>
      </w:r>
      <w:r w:rsidRPr="0011015D">
        <w:rPr>
          <w:rFonts w:ascii="Georgia" w:hAnsi="Georgia" w:cs="Arial"/>
          <w:i/>
          <w:sz w:val="22"/>
          <w:szCs w:val="22"/>
        </w:rPr>
        <w:t xml:space="preserve">er manufacturing </w:t>
      </w:r>
    </w:p>
    <w:p w14:paraId="3FB01D52" w14:textId="77777777" w:rsidR="00FC607D" w:rsidRPr="0011015D" w:rsidRDefault="000748BF" w:rsidP="00586D14">
      <w:pPr>
        <w:pStyle w:val="ListParagraph"/>
        <w:numPr>
          <w:ilvl w:val="0"/>
          <w:numId w:val="12"/>
        </w:numPr>
        <w:spacing w:line="280" w:lineRule="exact"/>
        <w:rPr>
          <w:rFonts w:ascii="Georgia" w:hAnsi="Georgia" w:cs="Arial"/>
          <w:i/>
          <w:sz w:val="22"/>
          <w:szCs w:val="22"/>
        </w:rPr>
      </w:pPr>
      <w:r w:rsidRPr="0011015D">
        <w:rPr>
          <w:rFonts w:ascii="Georgia" w:hAnsi="Georgia" w:cs="Arial"/>
          <w:i/>
          <w:sz w:val="22"/>
          <w:szCs w:val="22"/>
        </w:rPr>
        <w:t>Phosphate fertili</w:t>
      </w:r>
      <w:r w:rsidRPr="0011015D">
        <w:rPr>
          <w:rFonts w:ascii="Georgia" w:hAnsi="Georgia" w:cs="Arial"/>
          <w:i/>
          <w:sz w:val="22"/>
          <w:szCs w:val="22"/>
        </w:rPr>
        <w:t>s</w:t>
      </w:r>
      <w:r w:rsidRPr="0011015D">
        <w:rPr>
          <w:rFonts w:ascii="Georgia" w:hAnsi="Georgia" w:cs="Arial"/>
          <w:i/>
          <w:sz w:val="22"/>
          <w:szCs w:val="22"/>
        </w:rPr>
        <w:t xml:space="preserve">er manufacturing </w:t>
      </w:r>
    </w:p>
    <w:p w14:paraId="3FB01D53" w14:textId="77777777" w:rsidR="00FC607D" w:rsidRPr="0011015D" w:rsidRDefault="000748BF" w:rsidP="00586D14">
      <w:pPr>
        <w:pStyle w:val="ListParagraph"/>
        <w:numPr>
          <w:ilvl w:val="0"/>
          <w:numId w:val="12"/>
        </w:numPr>
        <w:spacing w:line="280" w:lineRule="exact"/>
        <w:rPr>
          <w:rFonts w:ascii="Georgia" w:hAnsi="Georgia" w:cs="Arial"/>
          <w:i/>
          <w:sz w:val="22"/>
          <w:szCs w:val="22"/>
        </w:rPr>
      </w:pPr>
      <w:r w:rsidRPr="0011015D">
        <w:rPr>
          <w:rFonts w:ascii="Georgia" w:hAnsi="Georgia" w:cs="Arial"/>
          <w:i/>
          <w:sz w:val="22"/>
          <w:szCs w:val="22"/>
        </w:rPr>
        <w:t xml:space="preserve">Pesticides manufacturing and packaging </w:t>
      </w:r>
    </w:p>
    <w:p w14:paraId="3FB01D54" w14:textId="77777777" w:rsidR="00FC607D" w:rsidRPr="0011015D" w:rsidRDefault="000748BF" w:rsidP="00586D14">
      <w:pPr>
        <w:pStyle w:val="ListParagraph"/>
        <w:numPr>
          <w:ilvl w:val="0"/>
          <w:numId w:val="12"/>
        </w:numPr>
        <w:spacing w:line="280" w:lineRule="exact"/>
        <w:rPr>
          <w:rFonts w:ascii="Georgia" w:hAnsi="Georgia" w:cs="Arial"/>
          <w:i/>
          <w:sz w:val="22"/>
          <w:szCs w:val="22"/>
        </w:rPr>
      </w:pPr>
      <w:r w:rsidRPr="0011015D">
        <w:rPr>
          <w:rFonts w:ascii="Georgia" w:hAnsi="Georgia" w:cs="Arial"/>
          <w:i/>
          <w:sz w:val="22"/>
          <w:szCs w:val="22"/>
        </w:rPr>
        <w:t xml:space="preserve">Petroleum-based polymers manufacturing </w:t>
      </w:r>
    </w:p>
    <w:p w14:paraId="3FB01D55" w14:textId="77777777" w:rsidR="00FC607D" w:rsidRPr="0011015D" w:rsidRDefault="000748BF" w:rsidP="00586D14">
      <w:pPr>
        <w:pStyle w:val="ListParagraph"/>
        <w:numPr>
          <w:ilvl w:val="0"/>
          <w:numId w:val="12"/>
        </w:numPr>
        <w:spacing w:line="280" w:lineRule="exact"/>
        <w:rPr>
          <w:rFonts w:ascii="Georgia" w:hAnsi="Georgia" w:cs="Arial"/>
          <w:i/>
          <w:sz w:val="22"/>
          <w:szCs w:val="22"/>
        </w:rPr>
      </w:pPr>
      <w:r w:rsidRPr="0011015D">
        <w:rPr>
          <w:rFonts w:ascii="Georgia" w:hAnsi="Georgia" w:cs="Arial"/>
          <w:i/>
          <w:sz w:val="22"/>
          <w:szCs w:val="22"/>
        </w:rPr>
        <w:t xml:space="preserve">Petroleum refining </w:t>
      </w:r>
    </w:p>
    <w:p w14:paraId="3FB01D56" w14:textId="77777777" w:rsidR="00FC607D" w:rsidRPr="0011015D" w:rsidRDefault="000748BF" w:rsidP="00586D14">
      <w:pPr>
        <w:pStyle w:val="ListParagraph"/>
        <w:numPr>
          <w:ilvl w:val="0"/>
          <w:numId w:val="12"/>
        </w:numPr>
        <w:spacing w:line="280" w:lineRule="exact"/>
        <w:rPr>
          <w:rFonts w:ascii="Georgia" w:hAnsi="Georgia" w:cs="Arial"/>
          <w:i/>
          <w:sz w:val="22"/>
          <w:szCs w:val="22"/>
        </w:rPr>
      </w:pPr>
      <w:r w:rsidRPr="0011015D">
        <w:rPr>
          <w:rFonts w:ascii="Georgia" w:hAnsi="Georgia" w:cs="Arial"/>
          <w:i/>
          <w:sz w:val="22"/>
          <w:szCs w:val="22"/>
        </w:rPr>
        <w:t xml:space="preserve">Large volume petroleum-based organic chemicals manufacturing </w:t>
      </w:r>
    </w:p>
    <w:p w14:paraId="3FB01D57" w14:textId="77777777" w:rsidR="00FC607D" w:rsidRPr="0011015D" w:rsidRDefault="000748BF" w:rsidP="00586D14">
      <w:pPr>
        <w:pStyle w:val="ListParagraph"/>
        <w:numPr>
          <w:ilvl w:val="0"/>
          <w:numId w:val="12"/>
        </w:numPr>
        <w:spacing w:line="280" w:lineRule="exact"/>
        <w:rPr>
          <w:rFonts w:ascii="Georgia" w:hAnsi="Georgia" w:cs="Arial"/>
          <w:i/>
          <w:sz w:val="22"/>
          <w:szCs w:val="22"/>
        </w:rPr>
      </w:pPr>
      <w:r w:rsidRPr="0011015D">
        <w:rPr>
          <w:rFonts w:ascii="Georgia" w:hAnsi="Georgia" w:cs="Arial"/>
          <w:i/>
          <w:sz w:val="22"/>
          <w:szCs w:val="22"/>
        </w:rPr>
        <w:t>Large volume inorganic compounds manufacturing and coal tar distillation</w:t>
      </w:r>
    </w:p>
    <w:p w14:paraId="3FB01D58" w14:textId="77777777" w:rsidR="00FC607D" w:rsidRPr="0011015D" w:rsidRDefault="000748BF" w:rsidP="00FC607D">
      <w:pPr>
        <w:keepNext/>
        <w:spacing w:after="240"/>
        <w:rPr>
          <w:rFonts w:ascii="Georgia" w:hAnsi="Georgia" w:cs="Arial"/>
          <w:b/>
          <w:i/>
          <w:szCs w:val="22"/>
        </w:rPr>
      </w:pPr>
      <w:r w:rsidRPr="0011015D">
        <w:rPr>
          <w:rFonts w:ascii="Georgia" w:hAnsi="Georgia" w:cs="Arial"/>
          <w:b/>
          <w:i/>
          <w:szCs w:val="22"/>
        </w:rPr>
        <w:t>Mining</w:t>
      </w:r>
    </w:p>
    <w:p w14:paraId="3FB01D59" w14:textId="77777777" w:rsidR="00FC607D" w:rsidRPr="0011015D" w:rsidRDefault="000748BF" w:rsidP="00586D14">
      <w:pPr>
        <w:pStyle w:val="ListParagraph"/>
        <w:numPr>
          <w:ilvl w:val="0"/>
          <w:numId w:val="12"/>
        </w:numPr>
        <w:spacing w:line="280" w:lineRule="exact"/>
        <w:rPr>
          <w:rFonts w:ascii="Georgia" w:hAnsi="Georgia" w:cs="Arial"/>
          <w:i/>
          <w:sz w:val="22"/>
          <w:szCs w:val="22"/>
        </w:rPr>
      </w:pPr>
      <w:r w:rsidRPr="0011015D">
        <w:rPr>
          <w:rFonts w:ascii="Georgia" w:hAnsi="Georgia" w:cs="Arial"/>
          <w:i/>
          <w:sz w:val="22"/>
          <w:szCs w:val="22"/>
        </w:rPr>
        <w:t>Mining (open pit and underground)</w:t>
      </w:r>
    </w:p>
    <w:p w14:paraId="3FB01D5A" w14:textId="77777777" w:rsidR="00FC607D" w:rsidRPr="0011015D" w:rsidRDefault="000748BF" w:rsidP="00B93D66">
      <w:pPr>
        <w:keepNext/>
        <w:spacing w:after="240"/>
        <w:rPr>
          <w:rFonts w:ascii="Georgia" w:hAnsi="Georgia" w:cs="Arial"/>
          <w:b/>
          <w:i/>
          <w:szCs w:val="22"/>
        </w:rPr>
      </w:pPr>
      <w:r w:rsidRPr="0011015D">
        <w:rPr>
          <w:rFonts w:ascii="Georgia" w:hAnsi="Georgia" w:cs="Arial"/>
          <w:b/>
          <w:i/>
          <w:szCs w:val="22"/>
        </w:rPr>
        <w:t xml:space="preserve"> Socially Critical P</w:t>
      </w:r>
      <w:r w:rsidRPr="0011015D">
        <w:rPr>
          <w:rFonts w:ascii="Georgia" w:hAnsi="Georgia" w:cs="Arial"/>
          <w:b/>
          <w:i/>
          <w:szCs w:val="22"/>
        </w:rPr>
        <w:t>rojects</w:t>
      </w:r>
    </w:p>
    <w:p w14:paraId="3FB01D5B" w14:textId="77777777" w:rsidR="00FC607D" w:rsidRPr="0011015D" w:rsidRDefault="000748BF" w:rsidP="00586D14">
      <w:pPr>
        <w:pStyle w:val="ListParagraph"/>
        <w:numPr>
          <w:ilvl w:val="0"/>
          <w:numId w:val="12"/>
        </w:numPr>
        <w:spacing w:line="280" w:lineRule="exact"/>
        <w:rPr>
          <w:rFonts w:ascii="Georgia" w:hAnsi="Georgia" w:cs="Arial"/>
          <w:i/>
          <w:sz w:val="22"/>
          <w:szCs w:val="22"/>
        </w:rPr>
      </w:pPr>
      <w:r w:rsidRPr="0011015D">
        <w:rPr>
          <w:rFonts w:ascii="Georgia" w:hAnsi="Georgia" w:cs="Arial"/>
          <w:i/>
          <w:sz w:val="22"/>
          <w:szCs w:val="22"/>
        </w:rPr>
        <w:t>Projects with large groups of low-skilled labo</w:t>
      </w:r>
      <w:r w:rsidRPr="0011015D">
        <w:rPr>
          <w:rFonts w:ascii="Georgia" w:hAnsi="Georgia" w:cs="Arial"/>
          <w:i/>
          <w:sz w:val="22"/>
          <w:szCs w:val="22"/>
        </w:rPr>
        <w:t>u</w:t>
      </w:r>
      <w:r w:rsidRPr="0011015D">
        <w:rPr>
          <w:rFonts w:ascii="Georgia" w:hAnsi="Georgia" w:cs="Arial"/>
          <w:i/>
          <w:sz w:val="22"/>
          <w:szCs w:val="22"/>
        </w:rPr>
        <w:t>r, for instance in free trade zones etc. (e.g. textiles manufacturing projects which may affect indigenous or tribal populations)</w:t>
      </w:r>
    </w:p>
    <w:p w14:paraId="3FB01D5C" w14:textId="77777777" w:rsidR="00FC607D" w:rsidRPr="0011015D" w:rsidRDefault="000748BF" w:rsidP="00586D14">
      <w:pPr>
        <w:pStyle w:val="ListParagraph"/>
        <w:numPr>
          <w:ilvl w:val="0"/>
          <w:numId w:val="12"/>
        </w:numPr>
        <w:spacing w:line="280" w:lineRule="exact"/>
        <w:rPr>
          <w:rFonts w:ascii="Georgia" w:hAnsi="Georgia" w:cs="Arial"/>
          <w:i/>
          <w:sz w:val="22"/>
          <w:szCs w:val="22"/>
        </w:rPr>
      </w:pPr>
      <w:r w:rsidRPr="0011015D">
        <w:rPr>
          <w:rFonts w:ascii="Georgia" w:hAnsi="Georgia" w:cs="Arial"/>
          <w:i/>
          <w:sz w:val="22"/>
          <w:szCs w:val="22"/>
        </w:rPr>
        <w:t xml:space="preserve">Projects which may affect areas of archaeological or cultural </w:t>
      </w:r>
      <w:r w:rsidRPr="0011015D">
        <w:rPr>
          <w:rFonts w:ascii="Georgia" w:hAnsi="Georgia" w:cs="Arial"/>
          <w:i/>
          <w:sz w:val="22"/>
          <w:szCs w:val="22"/>
        </w:rPr>
        <w:t>significance</w:t>
      </w:r>
    </w:p>
    <w:p w14:paraId="3FB01D5D" w14:textId="77777777" w:rsidR="00FC607D" w:rsidRPr="0011015D" w:rsidRDefault="000748BF" w:rsidP="00586D14">
      <w:pPr>
        <w:pStyle w:val="ListParagraph"/>
        <w:numPr>
          <w:ilvl w:val="0"/>
          <w:numId w:val="12"/>
        </w:numPr>
        <w:spacing w:line="280" w:lineRule="exact"/>
        <w:rPr>
          <w:rFonts w:ascii="Georgia" w:hAnsi="Georgia" w:cs="Arial"/>
          <w:i/>
          <w:sz w:val="22"/>
          <w:szCs w:val="22"/>
        </w:rPr>
      </w:pPr>
      <w:r w:rsidRPr="0011015D">
        <w:rPr>
          <w:rFonts w:ascii="Georgia" w:hAnsi="Georgia" w:cs="Arial"/>
          <w:i/>
          <w:sz w:val="22"/>
          <w:szCs w:val="22"/>
        </w:rPr>
        <w:t>Projects which cause or have caused (during last 5 years) physical or economic resettlement</w:t>
      </w:r>
    </w:p>
    <w:p w14:paraId="3FB01D5E" w14:textId="77777777" w:rsidR="00FC607D" w:rsidRPr="0011015D" w:rsidRDefault="000748BF" w:rsidP="00586D14">
      <w:pPr>
        <w:pStyle w:val="ListParagraph"/>
        <w:numPr>
          <w:ilvl w:val="0"/>
          <w:numId w:val="12"/>
        </w:numPr>
        <w:spacing w:line="280" w:lineRule="exact"/>
        <w:rPr>
          <w:rFonts w:ascii="Georgia" w:hAnsi="Georgia" w:cs="Arial"/>
          <w:i/>
          <w:sz w:val="22"/>
          <w:szCs w:val="22"/>
        </w:rPr>
      </w:pPr>
      <w:r w:rsidRPr="0011015D">
        <w:rPr>
          <w:rFonts w:ascii="Georgia" w:hAnsi="Georgia" w:cs="Arial"/>
          <w:i/>
          <w:sz w:val="22"/>
          <w:szCs w:val="22"/>
        </w:rPr>
        <w:t>Projects which cause retrenchment of more than 10% of the present work force (or &gt; 50 workers)</w:t>
      </w:r>
    </w:p>
    <w:p w14:paraId="3FB01D5F" w14:textId="77777777" w:rsidR="00FC607D" w:rsidRPr="0011015D" w:rsidRDefault="000748BF" w:rsidP="00B93D66">
      <w:pPr>
        <w:keepNext/>
        <w:spacing w:after="240"/>
        <w:rPr>
          <w:rFonts w:ascii="Georgia" w:hAnsi="Georgia" w:cs="Arial"/>
          <w:b/>
          <w:i/>
          <w:szCs w:val="22"/>
        </w:rPr>
      </w:pPr>
      <w:r w:rsidRPr="0011015D">
        <w:rPr>
          <w:rFonts w:ascii="Georgia" w:hAnsi="Georgia" w:cs="Arial"/>
          <w:b/>
          <w:i/>
          <w:szCs w:val="22"/>
        </w:rPr>
        <w:t xml:space="preserve">Environmentally Critical Projects </w:t>
      </w:r>
    </w:p>
    <w:p w14:paraId="3FB01D60" w14:textId="77777777" w:rsidR="00FC607D" w:rsidRPr="0011015D" w:rsidRDefault="000748BF" w:rsidP="00586D14">
      <w:pPr>
        <w:pStyle w:val="ListParagraph"/>
        <w:numPr>
          <w:ilvl w:val="0"/>
          <w:numId w:val="13"/>
        </w:numPr>
        <w:spacing w:line="280" w:lineRule="exact"/>
        <w:rPr>
          <w:rFonts w:ascii="Georgia" w:hAnsi="Georgia" w:cs="Arial"/>
          <w:i/>
          <w:sz w:val="22"/>
          <w:szCs w:val="22"/>
        </w:rPr>
      </w:pPr>
      <w:r w:rsidRPr="0011015D">
        <w:rPr>
          <w:rFonts w:ascii="Georgia" w:hAnsi="Georgia" w:cs="Arial"/>
          <w:i/>
          <w:sz w:val="22"/>
          <w:szCs w:val="22"/>
        </w:rPr>
        <w:t>Projects in or border</w:t>
      </w:r>
      <w:r w:rsidRPr="0011015D">
        <w:rPr>
          <w:rFonts w:ascii="Georgia" w:hAnsi="Georgia" w:cs="Arial"/>
          <w:i/>
          <w:sz w:val="22"/>
          <w:szCs w:val="22"/>
        </w:rPr>
        <w:t>ing ecological sensitive or protected areas (e.g. agriculture in area</w:t>
      </w:r>
      <w:r w:rsidRPr="0011015D">
        <w:rPr>
          <w:rFonts w:ascii="Georgia" w:hAnsi="Georgia" w:cs="Arial"/>
          <w:i/>
          <w:sz w:val="22"/>
          <w:szCs w:val="22"/>
        </w:rPr>
        <w:t>s which comprised natural habitat</w:t>
      </w:r>
      <w:r w:rsidRPr="0011015D">
        <w:rPr>
          <w:rFonts w:ascii="Georgia" w:hAnsi="Georgia" w:cs="Arial"/>
          <w:i/>
          <w:sz w:val="22"/>
          <w:szCs w:val="22"/>
        </w:rPr>
        <w:t>, large scale tourism projects)</w:t>
      </w:r>
    </w:p>
    <w:p w14:paraId="3FB01D61" w14:textId="77777777" w:rsidR="00FC607D" w:rsidRPr="0011015D" w:rsidRDefault="000748BF" w:rsidP="00586D14">
      <w:pPr>
        <w:pStyle w:val="ListParagraph"/>
        <w:numPr>
          <w:ilvl w:val="0"/>
          <w:numId w:val="13"/>
        </w:numPr>
        <w:spacing w:line="280" w:lineRule="exact"/>
        <w:rPr>
          <w:rFonts w:ascii="Georgia" w:hAnsi="Georgia" w:cs="Arial"/>
          <w:i/>
          <w:sz w:val="22"/>
          <w:szCs w:val="22"/>
        </w:rPr>
      </w:pPr>
      <w:r w:rsidRPr="0011015D">
        <w:rPr>
          <w:rFonts w:ascii="Georgia" w:hAnsi="Georgia" w:cs="Arial"/>
          <w:i/>
          <w:sz w:val="22"/>
          <w:szCs w:val="22"/>
        </w:rPr>
        <w:t>Large scale conversion of natural habitats</w:t>
      </w:r>
      <w:r w:rsidRPr="0011015D">
        <w:rPr>
          <w:rFonts w:ascii="Georgia" w:hAnsi="Georgia" w:cs="Arial"/>
          <w:i/>
          <w:sz w:val="22"/>
          <w:szCs w:val="22"/>
        </w:rPr>
        <w:t xml:space="preserve"> (as a guide anything greater than 10 hectares)</w:t>
      </w:r>
    </w:p>
    <w:p w14:paraId="3FB01D62" w14:textId="77777777" w:rsidR="00FC607D" w:rsidRPr="0011015D" w:rsidRDefault="000748BF" w:rsidP="00586D14">
      <w:pPr>
        <w:pStyle w:val="ListParagraph"/>
        <w:numPr>
          <w:ilvl w:val="0"/>
          <w:numId w:val="13"/>
        </w:numPr>
        <w:spacing w:line="280" w:lineRule="exact"/>
        <w:rPr>
          <w:rFonts w:ascii="Georgia" w:hAnsi="Georgia" w:cs="Arial"/>
          <w:i/>
          <w:sz w:val="22"/>
          <w:szCs w:val="22"/>
        </w:rPr>
      </w:pPr>
      <w:r w:rsidRPr="0011015D">
        <w:rPr>
          <w:rFonts w:ascii="Georgia" w:hAnsi="Georgia" w:cs="Arial"/>
          <w:i/>
          <w:sz w:val="22"/>
          <w:szCs w:val="22"/>
        </w:rPr>
        <w:t>Large scale land reclamation</w:t>
      </w:r>
    </w:p>
    <w:p w14:paraId="3FB01D63" w14:textId="77777777" w:rsidR="00FC607D" w:rsidRPr="0011015D" w:rsidRDefault="000748BF" w:rsidP="00586D14">
      <w:pPr>
        <w:pStyle w:val="ListParagraph"/>
        <w:numPr>
          <w:ilvl w:val="0"/>
          <w:numId w:val="13"/>
        </w:numPr>
        <w:spacing w:line="280" w:lineRule="exact"/>
        <w:rPr>
          <w:rFonts w:ascii="Georgia" w:hAnsi="Georgia" w:cs="Arial"/>
          <w:i/>
          <w:sz w:val="22"/>
          <w:szCs w:val="22"/>
        </w:rPr>
      </w:pPr>
      <w:r w:rsidRPr="0011015D">
        <w:rPr>
          <w:rFonts w:ascii="Georgia" w:hAnsi="Georgia" w:cs="Arial"/>
          <w:i/>
          <w:sz w:val="22"/>
          <w:szCs w:val="22"/>
        </w:rPr>
        <w:t>Pro</w:t>
      </w:r>
      <w:r w:rsidRPr="0011015D">
        <w:rPr>
          <w:rFonts w:ascii="Georgia" w:hAnsi="Georgia" w:cs="Arial"/>
          <w:i/>
          <w:sz w:val="22"/>
          <w:szCs w:val="22"/>
        </w:rPr>
        <w:t>jects that have potential to heavily impact ecosystem services (e.g. due to intensive use of ground water)</w:t>
      </w:r>
    </w:p>
    <w:p w14:paraId="3FB01D64" w14:textId="77777777" w:rsidR="00FC607D" w:rsidRPr="0011015D" w:rsidRDefault="000748BF">
      <w:pPr>
        <w:spacing w:after="200" w:line="276" w:lineRule="auto"/>
        <w:rPr>
          <w:rFonts w:ascii="Georgia" w:hAnsi="Georgia" w:cs="Arial"/>
          <w:szCs w:val="22"/>
        </w:rPr>
      </w:pPr>
    </w:p>
    <w:p w14:paraId="3FB01D65" w14:textId="77777777" w:rsidR="00FC607D" w:rsidRPr="0011015D" w:rsidRDefault="000748BF" w:rsidP="0011015D">
      <w:pPr>
        <w:pStyle w:val="draftingnote"/>
        <w:rPr>
          <w:w w:val="0"/>
        </w:rPr>
      </w:pPr>
      <w:r w:rsidRPr="0011015D">
        <w:rPr>
          <w:w w:val="0"/>
        </w:rPr>
        <w:t>Financial institutions only</w:t>
      </w:r>
    </w:p>
    <w:p w14:paraId="3FB01D66" w14:textId="77777777" w:rsidR="00FC607D" w:rsidRPr="0011015D" w:rsidRDefault="000748BF" w:rsidP="00633C01">
      <w:pPr>
        <w:pStyle w:val="Heading3"/>
        <w:rPr>
          <w:rFonts w:ascii="Georgia" w:hAnsi="Georgia"/>
          <w:i/>
        </w:rPr>
      </w:pPr>
      <w:bookmarkStart w:id="76" w:name="_Toc368064319"/>
      <w:bookmarkStart w:id="77" w:name="_Toc456289242"/>
      <w:bookmarkStart w:id="78" w:name="_Toc451759977"/>
      <w:bookmarkStart w:id="79" w:name="_Toc462908789"/>
      <w:r w:rsidRPr="0011015D">
        <w:rPr>
          <w:rFonts w:ascii="Georgia" w:hAnsi="Georgia"/>
          <w:i/>
        </w:rPr>
        <w:t xml:space="preserve">Part E - ESG </w:t>
      </w:r>
      <w:r w:rsidRPr="0011015D">
        <w:rPr>
          <w:rFonts w:ascii="Georgia" w:hAnsi="Georgia"/>
          <w:i/>
        </w:rPr>
        <w:t>m</w:t>
      </w:r>
      <w:r w:rsidRPr="0011015D">
        <w:rPr>
          <w:rFonts w:ascii="Georgia" w:hAnsi="Georgia"/>
          <w:i/>
        </w:rPr>
        <w:t xml:space="preserve">anagement </w:t>
      </w:r>
      <w:r w:rsidRPr="0011015D">
        <w:rPr>
          <w:rFonts w:ascii="Georgia" w:hAnsi="Georgia"/>
          <w:i/>
        </w:rPr>
        <w:t>s</w:t>
      </w:r>
      <w:r w:rsidRPr="0011015D">
        <w:rPr>
          <w:rFonts w:ascii="Georgia" w:hAnsi="Georgia"/>
          <w:i/>
        </w:rPr>
        <w:t>ystem</w:t>
      </w:r>
      <w:bookmarkEnd w:id="76"/>
      <w:r w:rsidRPr="0011015D">
        <w:rPr>
          <w:rFonts w:ascii="Georgia" w:hAnsi="Georgia"/>
          <w:i/>
        </w:rPr>
        <w:t xml:space="preserve"> for </w:t>
      </w:r>
      <w:r w:rsidRPr="0011015D">
        <w:rPr>
          <w:rFonts w:ascii="Georgia" w:hAnsi="Georgia"/>
          <w:i/>
        </w:rPr>
        <w:t>f</w:t>
      </w:r>
      <w:r w:rsidRPr="0011015D">
        <w:rPr>
          <w:rFonts w:ascii="Georgia" w:hAnsi="Georgia"/>
          <w:i/>
        </w:rPr>
        <w:t xml:space="preserve">inancial </w:t>
      </w:r>
      <w:r w:rsidRPr="0011015D">
        <w:rPr>
          <w:rFonts w:ascii="Georgia" w:hAnsi="Georgia"/>
          <w:i/>
        </w:rPr>
        <w:t>i</w:t>
      </w:r>
      <w:r w:rsidRPr="0011015D">
        <w:rPr>
          <w:rFonts w:ascii="Georgia" w:hAnsi="Georgia"/>
          <w:i/>
        </w:rPr>
        <w:t>nstitutions</w:t>
      </w:r>
      <w:bookmarkEnd w:id="77"/>
      <w:bookmarkEnd w:id="78"/>
      <w:bookmarkEnd w:id="79"/>
    </w:p>
    <w:p w14:paraId="3FB01D67" w14:textId="77777777" w:rsidR="00FC607D" w:rsidRPr="0011015D" w:rsidRDefault="000748BF" w:rsidP="00FC607D">
      <w:pPr>
        <w:spacing w:after="240"/>
        <w:rPr>
          <w:rFonts w:ascii="Georgia" w:hAnsi="Georgia" w:cs="Arial"/>
          <w:i/>
          <w:szCs w:val="22"/>
        </w:rPr>
      </w:pPr>
      <w:r w:rsidRPr="0011015D">
        <w:rPr>
          <w:rFonts w:ascii="Georgia" w:hAnsi="Georgia" w:cs="Arial"/>
          <w:i/>
          <w:szCs w:val="22"/>
        </w:rPr>
        <w:t xml:space="preserve">The Group must adopt responsible investment management systems which must include: </w:t>
      </w:r>
    </w:p>
    <w:p w14:paraId="3FB01D68" w14:textId="77777777" w:rsidR="00FC607D" w:rsidRPr="002426F4" w:rsidRDefault="000748BF" w:rsidP="00524BD5">
      <w:pPr>
        <w:pStyle w:val="ScheduleText1"/>
        <w:numPr>
          <w:ilvl w:val="0"/>
          <w:numId w:val="18"/>
        </w:numPr>
      </w:pPr>
      <w:r w:rsidRPr="002426F4">
        <w:t xml:space="preserve">Policy and Processes </w:t>
      </w:r>
    </w:p>
    <w:p w14:paraId="3FB01D69" w14:textId="77777777" w:rsidR="00FC607D" w:rsidRPr="002426F4" w:rsidRDefault="000748BF" w:rsidP="0011015D">
      <w:pPr>
        <w:pStyle w:val="ScheduleText2"/>
        <w:rPr>
          <w:i/>
        </w:rPr>
      </w:pPr>
      <w:r w:rsidRPr="002426F4">
        <w:rPr>
          <w:i/>
        </w:rPr>
        <w:t xml:space="preserve">ensuring the Group’s own operations comply with the ESG Requirements; </w:t>
      </w:r>
    </w:p>
    <w:p w14:paraId="3FB01D6A" w14:textId="77777777" w:rsidR="00FC607D" w:rsidRPr="002426F4" w:rsidRDefault="000748BF" w:rsidP="0011015D">
      <w:pPr>
        <w:pStyle w:val="ScheduleText2"/>
        <w:rPr>
          <w:i/>
        </w:rPr>
      </w:pPr>
      <w:r w:rsidRPr="002426F4">
        <w:rPr>
          <w:i/>
        </w:rPr>
        <w:t>identifying the environmental, social and governance risks of all potential Cli</w:t>
      </w:r>
      <w:r w:rsidRPr="002426F4">
        <w:rPr>
          <w:i/>
        </w:rPr>
        <w:t xml:space="preserve">ents and appropriately managing and monitoring those risks (including the </w:t>
      </w:r>
      <w:r w:rsidRPr="002426F4">
        <w:rPr>
          <w:i/>
        </w:rPr>
        <w:lastRenderedPageBreak/>
        <w:t xml:space="preserve">identification of climate change risks, and reporting on greenhouse gas emissions from high carbon intensity activities); </w:t>
      </w:r>
    </w:p>
    <w:p w14:paraId="3FB01D6B" w14:textId="77777777" w:rsidR="00FC607D" w:rsidRPr="002426F4" w:rsidRDefault="000748BF" w:rsidP="0011015D">
      <w:pPr>
        <w:pStyle w:val="ScheduleText2"/>
        <w:rPr>
          <w:i/>
        </w:rPr>
      </w:pPr>
      <w:r w:rsidRPr="002426F4">
        <w:rPr>
          <w:i/>
        </w:rPr>
        <w:t xml:space="preserve">preventing any investment by the Group in an </w:t>
      </w:r>
      <w:r w:rsidRPr="002426F4">
        <w:rPr>
          <w:i/>
        </w:rPr>
        <w:t>activity on th</w:t>
      </w:r>
      <w:r w:rsidRPr="002426F4">
        <w:rPr>
          <w:i/>
        </w:rPr>
        <w:t>e Exclusion List</w:t>
      </w:r>
      <w:r w:rsidRPr="002426F4">
        <w:rPr>
          <w:i/>
        </w:rPr>
        <w:t xml:space="preserve">; </w:t>
      </w:r>
    </w:p>
    <w:p w14:paraId="3FB01D6C" w14:textId="77777777" w:rsidR="00487B1E" w:rsidRPr="002426F4" w:rsidRDefault="000748BF" w:rsidP="00487B1E">
      <w:pPr>
        <w:pStyle w:val="ScheduleText2"/>
        <w:rPr>
          <w:i/>
        </w:rPr>
      </w:pPr>
      <w:r w:rsidRPr="002426F4">
        <w:rPr>
          <w:i/>
        </w:rPr>
        <w:t>assessing compliance by all Clients with</w:t>
      </w:r>
      <w:r>
        <w:rPr>
          <w:i/>
        </w:rPr>
        <w:t xml:space="preserve"> the applicable Client ESG Standards;</w:t>
      </w:r>
    </w:p>
    <w:p w14:paraId="3FB01D6D" w14:textId="77777777" w:rsidR="00FC607D" w:rsidRPr="002426F4" w:rsidRDefault="000748BF" w:rsidP="0011015D">
      <w:pPr>
        <w:pStyle w:val="ScheduleText2"/>
        <w:rPr>
          <w:i/>
        </w:rPr>
      </w:pPr>
      <w:r w:rsidRPr="002426F4">
        <w:rPr>
          <w:i/>
        </w:rPr>
        <w:t>developing a</w:t>
      </w:r>
      <w:r w:rsidRPr="002426F4">
        <w:rPr>
          <w:i/>
        </w:rPr>
        <w:t>n</w:t>
      </w:r>
      <w:r w:rsidRPr="002426F4">
        <w:rPr>
          <w:i/>
        </w:rPr>
        <w:t xml:space="preserve"> </w:t>
      </w:r>
      <w:r w:rsidRPr="002426F4">
        <w:rPr>
          <w:i/>
        </w:rPr>
        <w:t>environmental, social and governance action plan agreed between the relevant Group Company and each Client, defining actions, responsibilities, b</w:t>
      </w:r>
      <w:r w:rsidRPr="002426F4">
        <w:rPr>
          <w:i/>
        </w:rPr>
        <w:t xml:space="preserve">udgets, deliverables, compliance indicators, and a timeframe for the measures required to remedy any known non-compliance with the </w:t>
      </w:r>
      <w:r>
        <w:rPr>
          <w:i/>
        </w:rPr>
        <w:t xml:space="preserve">applicable </w:t>
      </w:r>
      <w:r>
        <w:rPr>
          <w:i/>
        </w:rPr>
        <w:t xml:space="preserve">Client </w:t>
      </w:r>
      <w:r w:rsidRPr="002426F4">
        <w:rPr>
          <w:i/>
        </w:rPr>
        <w:t xml:space="preserve">ESG </w:t>
      </w:r>
      <w:r>
        <w:rPr>
          <w:i/>
        </w:rPr>
        <w:t xml:space="preserve">Standards </w:t>
      </w:r>
      <w:r w:rsidRPr="002426F4">
        <w:rPr>
          <w:i/>
        </w:rPr>
        <w:t>in the business activities of the Client and for any other measure agreed upon, as amended fr</w:t>
      </w:r>
      <w:r w:rsidRPr="002426F4">
        <w:rPr>
          <w:i/>
        </w:rPr>
        <w:t>om time to time (the “</w:t>
      </w:r>
      <w:r w:rsidRPr="002426F4">
        <w:rPr>
          <w:b/>
          <w:i/>
        </w:rPr>
        <w:t>Client ESG</w:t>
      </w:r>
      <w:r w:rsidRPr="002426F4">
        <w:rPr>
          <w:b/>
          <w:i/>
        </w:rPr>
        <w:t xml:space="preserve"> Action Plan</w:t>
      </w:r>
      <w:r w:rsidRPr="002426F4">
        <w:rPr>
          <w:i/>
        </w:rPr>
        <w:t>”)</w:t>
      </w:r>
      <w:r w:rsidRPr="002426F4">
        <w:rPr>
          <w:i/>
        </w:rPr>
        <w:t xml:space="preserve">; </w:t>
      </w:r>
    </w:p>
    <w:p w14:paraId="3FB01D6E" w14:textId="77777777" w:rsidR="00AA1967" w:rsidRDefault="000748BF" w:rsidP="0011015D">
      <w:pPr>
        <w:pStyle w:val="ScheduleText2"/>
        <w:rPr>
          <w:i/>
        </w:rPr>
      </w:pPr>
      <w:r>
        <w:rPr>
          <w:i/>
        </w:rPr>
        <w:t>using all reasonable endeavours to procure</w:t>
      </w:r>
      <w:r w:rsidRPr="002426F4">
        <w:rPr>
          <w:i/>
        </w:rPr>
        <w:t>, through the inclusion of binding obligations of each Client in favour of a Group Company, that</w:t>
      </w:r>
      <w:r>
        <w:rPr>
          <w:i/>
        </w:rPr>
        <w:t>:</w:t>
      </w:r>
    </w:p>
    <w:p w14:paraId="3FB01D6F" w14:textId="77777777" w:rsidR="00AA1967" w:rsidRDefault="000748BF" w:rsidP="00AA1967">
      <w:pPr>
        <w:pStyle w:val="ScheduleText2"/>
        <w:numPr>
          <w:ilvl w:val="2"/>
          <w:numId w:val="17"/>
        </w:numPr>
        <w:rPr>
          <w:i/>
        </w:rPr>
      </w:pPr>
      <w:r w:rsidRPr="002426F4">
        <w:rPr>
          <w:i/>
        </w:rPr>
        <w:t xml:space="preserve">each Client complies in all material respects with </w:t>
      </w:r>
      <w:r>
        <w:rPr>
          <w:i/>
        </w:rPr>
        <w:t xml:space="preserve">the </w:t>
      </w:r>
      <w:r w:rsidRPr="002426F4">
        <w:rPr>
          <w:i/>
        </w:rPr>
        <w:t xml:space="preserve">applicable </w:t>
      </w:r>
      <w:r>
        <w:rPr>
          <w:i/>
        </w:rPr>
        <w:t xml:space="preserve">Client </w:t>
      </w:r>
      <w:r w:rsidRPr="002426F4">
        <w:rPr>
          <w:i/>
        </w:rPr>
        <w:t xml:space="preserve">ESG </w:t>
      </w:r>
      <w:r>
        <w:rPr>
          <w:i/>
        </w:rPr>
        <w:t>Standards</w:t>
      </w:r>
      <w:r>
        <w:rPr>
          <w:i/>
        </w:rPr>
        <w:t>;</w:t>
      </w:r>
    </w:p>
    <w:p w14:paraId="3FB01D70" w14:textId="77777777" w:rsidR="00B07D90" w:rsidRDefault="000748BF" w:rsidP="00AA1967">
      <w:pPr>
        <w:pStyle w:val="ScheduleText2"/>
        <w:numPr>
          <w:ilvl w:val="2"/>
          <w:numId w:val="17"/>
        </w:numPr>
        <w:rPr>
          <w:i/>
        </w:rPr>
      </w:pPr>
      <w:r w:rsidRPr="002426F4">
        <w:rPr>
          <w:i/>
        </w:rPr>
        <w:t>where applicable, each Client complies with the requirements set out in the relevant Client ESG Action Plan;</w:t>
      </w:r>
      <w:r>
        <w:rPr>
          <w:i/>
        </w:rPr>
        <w:t xml:space="preserve"> and</w:t>
      </w:r>
    </w:p>
    <w:p w14:paraId="3FB01D71" w14:textId="77777777" w:rsidR="00487B1E" w:rsidRPr="00487B1E" w:rsidRDefault="000748BF" w:rsidP="00AA1967">
      <w:pPr>
        <w:pStyle w:val="ScheduleText2"/>
        <w:numPr>
          <w:ilvl w:val="2"/>
          <w:numId w:val="17"/>
        </w:numPr>
        <w:rPr>
          <w:i/>
        </w:rPr>
      </w:pPr>
      <w:r w:rsidRPr="00487B1E">
        <w:rPr>
          <w:i/>
        </w:rPr>
        <w:t>each High Risk Client institutes and maintains a management system that ensures compliance with the</w:t>
      </w:r>
      <w:r>
        <w:rPr>
          <w:i/>
        </w:rPr>
        <w:t xml:space="preserve"> ESG Requirements; and</w:t>
      </w:r>
    </w:p>
    <w:p w14:paraId="3FB01D72" w14:textId="77777777" w:rsidR="00FC607D" w:rsidRPr="002426F4" w:rsidRDefault="000748BF" w:rsidP="0011015D">
      <w:pPr>
        <w:pStyle w:val="ScheduleText2"/>
        <w:rPr>
          <w:i/>
        </w:rPr>
      </w:pPr>
      <w:r w:rsidRPr="002426F4">
        <w:rPr>
          <w:i/>
        </w:rPr>
        <w:t>establishing a public grievance process for the reporting of environmental, social or governance matters</w:t>
      </w:r>
      <w:r>
        <w:rPr>
          <w:i/>
        </w:rPr>
        <w:t xml:space="preserve"> and use all reasonable endeavours to ensure that each High Risk Client does so</w:t>
      </w:r>
      <w:r w:rsidRPr="002426F4">
        <w:rPr>
          <w:i/>
        </w:rPr>
        <w:t>.</w:t>
      </w:r>
    </w:p>
    <w:p w14:paraId="3FB01D73" w14:textId="77777777" w:rsidR="00FC607D" w:rsidRPr="002426F4" w:rsidRDefault="000748BF" w:rsidP="00524BD5">
      <w:pPr>
        <w:pStyle w:val="ScheduleText1"/>
      </w:pPr>
      <w:r>
        <w:t>Roles and Responsibilities</w:t>
      </w:r>
    </w:p>
    <w:p w14:paraId="3FB01D74" w14:textId="77777777" w:rsidR="00FC607D" w:rsidRPr="002426F4" w:rsidRDefault="000748BF" w:rsidP="0011015D">
      <w:pPr>
        <w:pStyle w:val="Clausetext2"/>
        <w:rPr>
          <w:i/>
        </w:rPr>
      </w:pPr>
      <w:r w:rsidRPr="002426F4">
        <w:rPr>
          <w:i/>
        </w:rPr>
        <w:t>assigning environmental, social and governa</w:t>
      </w:r>
      <w:r w:rsidRPr="002426F4">
        <w:rPr>
          <w:i/>
        </w:rPr>
        <w:t>nce responsibilities to (i) designated representative(s) of senior management, who are members of appropriate credit and governing bodies and (ii) suitably trained employee(s) or consultant(s).</w:t>
      </w:r>
    </w:p>
    <w:p w14:paraId="3FB01D75" w14:textId="77777777" w:rsidR="00FC607D" w:rsidRPr="002426F4" w:rsidRDefault="000748BF" w:rsidP="00524BD5">
      <w:pPr>
        <w:pStyle w:val="ScheduleText1"/>
      </w:pPr>
      <w:r>
        <w:t>Performance Management</w:t>
      </w:r>
    </w:p>
    <w:p w14:paraId="3FB01D76" w14:textId="77777777" w:rsidR="00FC607D" w:rsidRPr="002426F4" w:rsidRDefault="000748BF" w:rsidP="0011015D">
      <w:pPr>
        <w:pStyle w:val="ScheduleText2"/>
        <w:rPr>
          <w:i/>
        </w:rPr>
      </w:pPr>
      <w:r w:rsidRPr="002426F4">
        <w:rPr>
          <w:i/>
        </w:rPr>
        <w:t>working with Clients continually to imp</w:t>
      </w:r>
      <w:r w:rsidRPr="002426F4">
        <w:rPr>
          <w:i/>
        </w:rPr>
        <w:t xml:space="preserve">rove their performance on environmental (including climate change risks), social, corporate governance and business integrity matters; </w:t>
      </w:r>
    </w:p>
    <w:p w14:paraId="3FB01D77" w14:textId="77777777" w:rsidR="00FC607D" w:rsidRPr="002426F4" w:rsidRDefault="000748BF" w:rsidP="0011015D">
      <w:pPr>
        <w:pStyle w:val="ScheduleText2"/>
        <w:rPr>
          <w:i/>
        </w:rPr>
      </w:pPr>
      <w:r w:rsidRPr="002426F4">
        <w:rPr>
          <w:i/>
        </w:rPr>
        <w:t xml:space="preserve">monitoring Clients’ performance and continued compliance with the </w:t>
      </w:r>
      <w:r>
        <w:rPr>
          <w:i/>
        </w:rPr>
        <w:t xml:space="preserve">applicable Client </w:t>
      </w:r>
      <w:r w:rsidRPr="002426F4">
        <w:rPr>
          <w:i/>
        </w:rPr>
        <w:t xml:space="preserve">ESG </w:t>
      </w:r>
      <w:r>
        <w:rPr>
          <w:i/>
        </w:rPr>
        <w:t xml:space="preserve">Standards </w:t>
      </w:r>
      <w:r w:rsidRPr="002426F4">
        <w:rPr>
          <w:i/>
        </w:rPr>
        <w:t>including their timely</w:t>
      </w:r>
      <w:r w:rsidRPr="002426F4">
        <w:rPr>
          <w:i/>
        </w:rPr>
        <w:t xml:space="preserve"> progress against </w:t>
      </w:r>
      <w:r w:rsidRPr="002426F4">
        <w:rPr>
          <w:i/>
        </w:rPr>
        <w:t xml:space="preserve">the relevant </w:t>
      </w:r>
      <w:r w:rsidRPr="002426F4">
        <w:rPr>
          <w:i/>
        </w:rPr>
        <w:t xml:space="preserve">Client ESG Action Plans, including periodic meetings and/or site visits (as warranted by the risks of such business) and using technical experts where necessary; </w:t>
      </w:r>
    </w:p>
    <w:p w14:paraId="3FB01D78" w14:textId="77777777" w:rsidR="00FC607D" w:rsidRPr="002426F4" w:rsidRDefault="000748BF" w:rsidP="0011015D">
      <w:pPr>
        <w:pStyle w:val="ScheduleText2"/>
        <w:rPr>
          <w:i/>
        </w:rPr>
      </w:pPr>
      <w:r w:rsidRPr="002426F4">
        <w:rPr>
          <w:i/>
        </w:rPr>
        <w:t>identifying and recording any serious incidents involving Clie</w:t>
      </w:r>
      <w:r w:rsidRPr="002426F4">
        <w:rPr>
          <w:i/>
        </w:rPr>
        <w:t xml:space="preserve">nts that result in loss of life, severe permanent injury or severe permanent damage to health, a material </w:t>
      </w:r>
      <w:r w:rsidRPr="002426F4">
        <w:rPr>
          <w:i/>
        </w:rPr>
        <w:lastRenderedPageBreak/>
        <w:t>adverse environmental or social impact, or material breach of ESG Laws, including financial irregularities, and promote appropriate corrective actions</w:t>
      </w:r>
      <w:r w:rsidRPr="002426F4">
        <w:rPr>
          <w:i/>
        </w:rPr>
        <w:t xml:space="preserve">; and </w:t>
      </w:r>
    </w:p>
    <w:p w14:paraId="3FB01D79" w14:textId="77777777" w:rsidR="00FC607D" w:rsidRPr="002426F4" w:rsidRDefault="000748BF" w:rsidP="0011015D">
      <w:pPr>
        <w:pStyle w:val="ScheduleText2"/>
        <w:rPr>
          <w:i/>
        </w:rPr>
      </w:pPr>
      <w:r w:rsidRPr="002426F4">
        <w:rPr>
          <w:i/>
        </w:rPr>
        <w:t>ensuring integration of ESG management systems into their business so that they continue after any exit from the investment.</w:t>
      </w:r>
    </w:p>
    <w:p w14:paraId="3FB01D7A" w14:textId="77777777" w:rsidR="00FC607D" w:rsidRPr="002426F4" w:rsidRDefault="000748BF" w:rsidP="00524BD5">
      <w:pPr>
        <w:pStyle w:val="ScheduleText1"/>
      </w:pPr>
      <w:r w:rsidRPr="002426F4">
        <w:t>Reporting</w:t>
      </w:r>
    </w:p>
    <w:p w14:paraId="3FB01D7B" w14:textId="77777777" w:rsidR="00FC607D" w:rsidRPr="002426F4" w:rsidRDefault="000748BF" w:rsidP="0011015D">
      <w:pPr>
        <w:pStyle w:val="Clausetext2"/>
        <w:rPr>
          <w:i/>
        </w:rPr>
      </w:pPr>
      <w:r w:rsidRPr="002426F4">
        <w:rPr>
          <w:i/>
        </w:rPr>
        <w:t>ensuring regular (and no less than annual) reporting of environmental (including climate change), social and gover</w:t>
      </w:r>
      <w:r w:rsidRPr="002426F4">
        <w:rPr>
          <w:i/>
        </w:rPr>
        <w:t>nance matters (and immediate reporting of any serious incidents, such as fatalities or breaches of ESG Laws) to the Board and to the Investors</w:t>
      </w:r>
      <w:r w:rsidRPr="003756C4">
        <w:rPr>
          <w:i/>
        </w:rPr>
        <w:t>.</w:t>
      </w:r>
    </w:p>
    <w:p w14:paraId="3FB01D7C" w14:textId="77777777" w:rsidR="00C2519B" w:rsidRPr="0011015D" w:rsidRDefault="000748BF">
      <w:pPr>
        <w:tabs>
          <w:tab w:val="left" w:pos="3240"/>
        </w:tabs>
        <w:jc w:val="both"/>
        <w:rPr>
          <w:rFonts w:ascii="Georgia" w:hAnsi="Georgia"/>
        </w:rPr>
      </w:pPr>
      <w:bookmarkStart w:id="80" w:name="_Go_to_Note_1"/>
      <w:bookmarkStart w:id="81" w:name="_Disclosure_of_information"/>
      <w:bookmarkStart w:id="82" w:name="_Hlt536851933"/>
      <w:bookmarkStart w:id="83" w:name="_Data_protection"/>
      <w:bookmarkStart w:id="84" w:name="_Hlt533485216"/>
      <w:bookmarkStart w:id="85" w:name="_Hlt536851929"/>
      <w:bookmarkStart w:id="86" w:name="_Hlt1530522"/>
      <w:bookmarkStart w:id="87" w:name="_Publicity"/>
      <w:bookmarkStart w:id="88" w:name="_Corporate_and_Social_Responsibility"/>
      <w:bookmarkStart w:id="89" w:name="_Turnover_Chart"/>
      <w:bookmarkStart w:id="90" w:name="_Responsible_investing"/>
      <w:bookmarkStart w:id="91" w:name="_Environmental,_social_and"/>
      <w:bookmarkStart w:id="92" w:name="_Not_a_client_1"/>
      <w:bookmarkStart w:id="93" w:name="_Permitted_Transfers_1"/>
      <w:bookmarkStart w:id="94" w:name="_Hlt3192432"/>
      <w:bookmarkStart w:id="95" w:name="_Hlt533245286"/>
      <w:bookmarkStart w:id="96" w:name="_ERISA"/>
      <w:bookmarkStart w:id="97" w:name="_Exit"/>
      <w:bookmarkStart w:id="98" w:name="_Hlt1531491"/>
      <w:bookmarkStart w:id="99" w:name="_Legal_Drafting_Notes_–_Guidance_Not"/>
      <w:bookmarkStart w:id="100" w:name="_Note_7_:_Exit_Acknowledgement"/>
      <w:bookmarkStart w:id="101" w:name="_Note_9:_Definition_of_“Group”"/>
      <w:bookmarkStart w:id="102" w:name="_Note_9:_Definition_of_“Group”_and_“"/>
      <w:bookmarkStart w:id="103" w:name="_General_definitions"/>
      <w:bookmarkStart w:id="104" w:name="_Example_signature_blocks"/>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sectPr w:rsidR="00C2519B" w:rsidRPr="0011015D" w:rsidSect="00B307B1">
      <w:headerReference w:type="default" r:id="rId17"/>
      <w:footerReference w:type="even" r:id="rId18"/>
      <w:footerReference w:type="default" r:id="rId19"/>
      <w:head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01D8F" w14:textId="77777777" w:rsidR="00000000" w:rsidRDefault="000748BF">
      <w:pPr>
        <w:spacing w:line="240" w:lineRule="auto"/>
      </w:pPr>
      <w:r>
        <w:separator/>
      </w:r>
    </w:p>
  </w:endnote>
  <w:endnote w:type="continuationSeparator" w:id="0">
    <w:p w14:paraId="3FB01D91" w14:textId="77777777" w:rsidR="00000000" w:rsidRDefault="000748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01D82" w14:textId="77777777" w:rsidR="00524BD5" w:rsidRDefault="000748BF" w:rsidP="00897A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FB01D83" w14:textId="77777777" w:rsidR="00524BD5" w:rsidRDefault="000748BF" w:rsidP="00897A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01D84" w14:textId="52AFD98F" w:rsidR="00524BD5" w:rsidRDefault="000748BF" w:rsidP="00897A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FB01D85" w14:textId="77777777" w:rsidR="00524BD5" w:rsidRPr="006A18D1" w:rsidRDefault="000748BF" w:rsidP="00DD038F">
    <w:pPr>
      <w:pStyle w:val="Footer"/>
      <w:rPr>
        <w:snapToGrid w:val="0"/>
        <w:sz w:val="16"/>
        <w:szCs w:val="16"/>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01D8B" w14:textId="77777777" w:rsidR="00000000" w:rsidRDefault="000748BF">
      <w:pPr>
        <w:spacing w:line="240" w:lineRule="auto"/>
      </w:pPr>
      <w:r>
        <w:separator/>
      </w:r>
    </w:p>
  </w:footnote>
  <w:footnote w:type="continuationSeparator" w:id="0">
    <w:p w14:paraId="3FB01D8D" w14:textId="77777777" w:rsidR="00000000" w:rsidRDefault="000748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01D7D" w14:textId="77777777" w:rsidR="00524BD5" w:rsidRDefault="000748BF" w:rsidP="00B307B1">
    <w:pPr>
      <w:pStyle w:val="Header"/>
      <w:spacing w:line="240" w:lineRule="auto"/>
    </w:pPr>
  </w:p>
  <w:p w14:paraId="3FB01D7E" w14:textId="77777777" w:rsidR="00524BD5" w:rsidRDefault="000748BF" w:rsidP="00B307B1">
    <w:pPr>
      <w:pStyle w:val="Header"/>
      <w:spacing w:line="240" w:lineRule="auto"/>
    </w:pPr>
  </w:p>
  <w:p w14:paraId="3FB01D7F" w14:textId="77777777" w:rsidR="00524BD5" w:rsidRDefault="000748BF" w:rsidP="00B307B1">
    <w:pPr>
      <w:pStyle w:val="Header"/>
      <w:spacing w:line="240" w:lineRule="auto"/>
    </w:pPr>
  </w:p>
  <w:p w14:paraId="3FB01D80" w14:textId="77777777" w:rsidR="00524BD5" w:rsidRDefault="000748BF" w:rsidP="00B307B1">
    <w:pPr>
      <w:pStyle w:val="Header"/>
      <w:spacing w:line="240" w:lineRule="auto"/>
    </w:pPr>
  </w:p>
  <w:p w14:paraId="3FB01D81" w14:textId="77777777" w:rsidR="00524BD5" w:rsidRDefault="000748BF" w:rsidP="00B307B1">
    <w:pPr>
      <w:pStyle w:val="Heade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01D86" w14:textId="77777777" w:rsidR="00524BD5" w:rsidRDefault="000748BF" w:rsidP="00B307B1">
    <w:pPr>
      <w:pStyle w:val="Header"/>
      <w:spacing w:line="240" w:lineRule="auto"/>
    </w:pPr>
  </w:p>
  <w:p w14:paraId="3FB01D87" w14:textId="77777777" w:rsidR="00524BD5" w:rsidRDefault="000748BF" w:rsidP="00B307B1">
    <w:pPr>
      <w:pStyle w:val="Header"/>
      <w:spacing w:line="240" w:lineRule="auto"/>
    </w:pPr>
  </w:p>
  <w:p w14:paraId="3FB01D88" w14:textId="77777777" w:rsidR="00524BD5" w:rsidRDefault="000748BF" w:rsidP="00B307B1">
    <w:pPr>
      <w:pStyle w:val="Header"/>
      <w:spacing w:line="240" w:lineRule="auto"/>
    </w:pPr>
  </w:p>
  <w:p w14:paraId="3FB01D89" w14:textId="77777777" w:rsidR="00524BD5" w:rsidRDefault="000748BF" w:rsidP="00B307B1">
    <w:pPr>
      <w:pStyle w:val="Header"/>
      <w:spacing w:line="240" w:lineRule="auto"/>
    </w:pPr>
  </w:p>
  <w:p w14:paraId="3FB01D8A" w14:textId="77777777" w:rsidR="00524BD5" w:rsidRDefault="000748BF" w:rsidP="00B307B1">
    <w:pPr>
      <w:pStyle w:val="Header"/>
      <w:spacing w:line="240" w:lineRule="auto"/>
    </w:pPr>
    <w:r>
      <w:rPr>
        <w:rFonts w:ascii="Georgia" w:hAnsi="Georgia"/>
        <w:noProof/>
        <w:lang w:eastAsia="en-GB"/>
      </w:rPr>
      <w:drawing>
        <wp:inline distT="0" distB="0" distL="0" distR="0" wp14:anchorId="3FB01D8B" wp14:editId="3FB01D8C">
          <wp:extent cx="1570008" cy="623845"/>
          <wp:effectExtent l="0" t="0" r="0" b="5080"/>
          <wp:docPr id="3" name="Picture 3" descr="\\cdcgroup.com\dfs\CompanyData\Communications\Shared\Logos\jpg\CDC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537750" name="Picture 2" descr="\\cdcgroup.com\dfs\CompanyData\Communications\Shared\Logos\jpg\CDC_Logo_blac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70381" cy="6239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A6AB5E2"/>
    <w:lvl w:ilvl="0">
      <w:start w:val="1"/>
      <w:numFmt w:val="none"/>
      <w:pStyle w:val="Scheduletitle"/>
      <w:suff w:val="nothing"/>
      <w:lvlText w:val=""/>
      <w:lvlJc w:val="left"/>
      <w:pPr>
        <w:ind w:left="0" w:firstLine="0"/>
      </w:pPr>
      <w:rPr>
        <w:rFonts w:hint="default"/>
      </w:rPr>
    </w:lvl>
    <w:lvl w:ilvl="1">
      <w:start w:val="3"/>
      <w:numFmt w:val="decimal"/>
      <w:lvlText w:val="%2."/>
      <w:lvlJc w:val="left"/>
      <w:pPr>
        <w:tabs>
          <w:tab w:val="num" w:pos="720"/>
        </w:tabs>
        <w:ind w:left="720" w:hanging="720"/>
      </w:pPr>
      <w:rPr>
        <w:rFonts w:ascii="Arial" w:hAnsi="Arial" w:hint="default"/>
        <w:b/>
        <w:i w:val="0"/>
        <w:sz w:val="22"/>
      </w:rPr>
    </w:lvl>
    <w:lvl w:ilvl="2">
      <w:start w:val="4"/>
      <w:numFmt w:val="none"/>
      <w:lvlText w:val="3.4"/>
      <w:lvlJc w:val="left"/>
      <w:pPr>
        <w:tabs>
          <w:tab w:val="num" w:pos="720"/>
        </w:tabs>
        <w:ind w:left="720" w:hanging="720"/>
      </w:pPr>
      <w:rPr>
        <w:rFonts w:ascii="Arial" w:hAnsi="Arial" w:hint="default"/>
        <w:b w:val="0"/>
        <w:i w:val="0"/>
        <w:sz w:val="22"/>
      </w:rPr>
    </w:lvl>
    <w:lvl w:ilvl="3">
      <w:numFmt w:val="lowerLetter"/>
      <w:lvlText w:val="(%4)"/>
      <w:lvlJc w:val="left"/>
      <w:pPr>
        <w:tabs>
          <w:tab w:val="num" w:pos="1440"/>
        </w:tabs>
        <w:ind w:left="1440" w:hanging="720"/>
      </w:pPr>
      <w:rPr>
        <w:rFonts w:hint="default"/>
      </w:rPr>
    </w:lvl>
    <w:lvl w:ilvl="4">
      <w:numFmt w:val="lowerRoman"/>
      <w:lvlText w:val="(%5)"/>
      <w:lvlJc w:val="left"/>
      <w:pPr>
        <w:tabs>
          <w:tab w:val="num" w:pos="0"/>
        </w:tabs>
        <w:ind w:left="2160" w:hanging="720"/>
      </w:pPr>
      <w:rPr>
        <w:rFonts w:hint="default"/>
      </w:rPr>
    </w:lvl>
    <w:lvl w:ilvl="5">
      <w:numFmt w:val="upperLetter"/>
      <w:lvlText w:val="(%6)"/>
      <w:lvlJc w:val="left"/>
      <w:pPr>
        <w:tabs>
          <w:tab w:val="num" w:pos="0"/>
        </w:tabs>
        <w:ind w:left="2869" w:hanging="708"/>
      </w:pPr>
      <w:rPr>
        <w:rFonts w:hint="default"/>
      </w:rPr>
    </w:lvl>
    <w:lvl w:ilvl="6">
      <w:numFmt w:val="lowerRoman"/>
      <w:lvlText w:val="(%7)"/>
      <w:lvlJc w:val="left"/>
      <w:pPr>
        <w:tabs>
          <w:tab w:val="num" w:pos="0"/>
        </w:tabs>
        <w:ind w:left="4296" w:hanging="708"/>
      </w:pPr>
      <w:rPr>
        <w:rFonts w:hint="default"/>
      </w:rPr>
    </w:lvl>
    <w:lvl w:ilvl="7">
      <w:start w:val="44"/>
      <w:numFmt w:val="lowerLetter"/>
      <w:lvlText w:val="(%8)"/>
      <w:lvlJc w:val="left"/>
      <w:pPr>
        <w:tabs>
          <w:tab w:val="num" w:pos="0"/>
        </w:tabs>
        <w:ind w:left="5004" w:hanging="708"/>
      </w:pPr>
      <w:rPr>
        <w:rFonts w:hint="default"/>
      </w:rPr>
    </w:lvl>
    <w:lvl w:ilvl="8">
      <w:numFmt w:val="none"/>
      <w:lvlText w:val=""/>
      <w:lvlJc w:val="left"/>
      <w:pPr>
        <w:tabs>
          <w:tab w:val="num" w:pos="360"/>
        </w:tabs>
      </w:pPr>
    </w:lvl>
  </w:abstractNum>
  <w:abstractNum w:abstractNumId="1" w15:restartNumberingAfterBreak="0">
    <w:nsid w:val="1ADD4F63"/>
    <w:multiLevelType w:val="multilevel"/>
    <w:tmpl w:val="9DB4AFAE"/>
    <w:name w:val="Definitions_1"/>
    <w:lvl w:ilvl="0">
      <w:start w:val="1"/>
      <w:numFmt w:val="none"/>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2" w15:restartNumberingAfterBreak="0">
    <w:nsid w:val="22D321C7"/>
    <w:multiLevelType w:val="multilevel"/>
    <w:tmpl w:val="CA3C142A"/>
    <w:styleLink w:val="StyleNumbered"/>
    <w:lvl w:ilvl="0">
      <w:start w:val="1"/>
      <w:numFmt w:val="decimal"/>
      <w:lvlText w:val="%1"/>
      <w:lvlJc w:val="left"/>
      <w:pPr>
        <w:tabs>
          <w:tab w:val="num" w:pos="720"/>
        </w:tabs>
        <w:ind w:left="720" w:hanging="360"/>
      </w:pPr>
      <w:rPr>
        <w:rFonts w:ascii="Arial" w:eastAsia="PMingLiU"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35665AE1"/>
    <w:multiLevelType w:val="multilevel"/>
    <w:tmpl w:val="82E87E52"/>
    <w:lvl w:ilvl="0">
      <w:start w:val="1"/>
      <w:numFmt w:val="decimal"/>
      <w:pStyle w:val="FWBCont8"/>
      <w:lvlText w:val="%1."/>
      <w:lvlJc w:val="left"/>
      <w:pPr>
        <w:tabs>
          <w:tab w:val="num" w:pos="720"/>
        </w:tabs>
        <w:ind w:left="0" w:firstLine="0"/>
      </w:pPr>
      <w:rPr>
        <w:rFonts w:ascii="Times New Roman" w:hAnsi="Times New Roman"/>
        <w:b w:val="0"/>
        <w:i w:val="0"/>
        <w:caps w:val="0"/>
        <w:color w:val="auto"/>
        <w:u w:val="none"/>
      </w:rPr>
    </w:lvl>
    <w:lvl w:ilvl="1">
      <w:start w:val="1"/>
      <w:numFmt w:val="lowerLetter"/>
      <w:pStyle w:val="FWBL1"/>
      <w:lvlText w:val="(%2)"/>
      <w:lvlJc w:val="left"/>
      <w:pPr>
        <w:tabs>
          <w:tab w:val="num" w:pos="720"/>
        </w:tabs>
        <w:ind w:left="720" w:hanging="720"/>
      </w:pPr>
      <w:rPr>
        <w:rFonts w:ascii="Times New Roman" w:hAnsi="Times New Roman"/>
        <w:b w:val="0"/>
        <w:i w:val="0"/>
        <w:caps w:val="0"/>
        <w:color w:val="auto"/>
        <w:u w:val="none"/>
      </w:rPr>
    </w:lvl>
    <w:lvl w:ilvl="2">
      <w:start w:val="1"/>
      <w:numFmt w:val="lowerRoman"/>
      <w:pStyle w:val="FWBL2"/>
      <w:lvlText w:val="(%3)"/>
      <w:lvlJc w:val="right"/>
      <w:pPr>
        <w:tabs>
          <w:tab w:val="num" w:pos="1440"/>
        </w:tabs>
        <w:ind w:left="1440" w:hanging="216"/>
      </w:pPr>
      <w:rPr>
        <w:rFonts w:ascii="Times New Roman" w:hAnsi="Times New Roman"/>
        <w:b w:val="0"/>
        <w:i w:val="0"/>
        <w:caps w:val="0"/>
        <w:color w:val="auto"/>
        <w:u w:val="none"/>
      </w:rPr>
    </w:lvl>
    <w:lvl w:ilvl="3">
      <w:start w:val="1"/>
      <w:numFmt w:val="upperLetter"/>
      <w:lvlText w:val="(%4)"/>
      <w:lvlJc w:val="left"/>
      <w:pPr>
        <w:tabs>
          <w:tab w:val="num" w:pos="2160"/>
        </w:tabs>
        <w:ind w:left="2160" w:hanging="720"/>
      </w:pPr>
      <w:rPr>
        <w:rFonts w:ascii="Times New Roman" w:hAnsi="Times New Roman"/>
        <w:b w:val="0"/>
        <w:i w:val="0"/>
        <w:caps w:val="0"/>
        <w:color w:val="auto"/>
        <w:u w:val="none"/>
      </w:rPr>
    </w:lvl>
    <w:lvl w:ilvl="4">
      <w:start w:val="1"/>
      <w:numFmt w:val="upperRoman"/>
      <w:pStyle w:val="FWBL3"/>
      <w:lvlText w:val="(%5)"/>
      <w:lvlJc w:val="right"/>
      <w:pPr>
        <w:tabs>
          <w:tab w:val="num" w:pos="2880"/>
        </w:tabs>
        <w:ind w:left="2880" w:hanging="216"/>
      </w:pPr>
      <w:rPr>
        <w:rFonts w:ascii="Times New Roman" w:hAnsi="Times New Roman"/>
        <w:b w:val="0"/>
        <w:i w:val="0"/>
        <w:caps w:val="0"/>
        <w:color w:val="auto"/>
        <w:u w:val="none"/>
      </w:rPr>
    </w:lvl>
    <w:lvl w:ilvl="5">
      <w:start w:val="1"/>
      <w:numFmt w:val="lowerRoman"/>
      <w:pStyle w:val="FWBL4"/>
      <w:lvlText w:val="(%6)"/>
      <w:lvlJc w:val="left"/>
      <w:pPr>
        <w:tabs>
          <w:tab w:val="num" w:pos="3600"/>
        </w:tabs>
        <w:ind w:left="3600" w:hanging="720"/>
      </w:pPr>
      <w:rPr>
        <w:rFonts w:ascii="Times New Roman" w:eastAsia="Times New Roman" w:hAnsi="Times New Roman" w:cs="Times New Roman" w:hint="default"/>
        <w:b w:val="0"/>
        <w:i w:val="0"/>
        <w:caps w:val="0"/>
        <w:color w:val="auto"/>
        <w:u w:val="none"/>
      </w:rPr>
    </w:lvl>
    <w:lvl w:ilvl="6">
      <w:start w:val="1"/>
      <w:numFmt w:val="decimal"/>
      <w:pStyle w:val="FWBL5"/>
      <w:lvlText w:val="(%7)"/>
      <w:lvlJc w:val="left"/>
      <w:pPr>
        <w:tabs>
          <w:tab w:val="num" w:pos="4320"/>
        </w:tabs>
        <w:ind w:left="4320" w:hanging="720"/>
      </w:pPr>
      <w:rPr>
        <w:rFonts w:ascii="Times New Roman" w:hAnsi="Times New Roman"/>
        <w:b w:val="0"/>
        <w:i w:val="0"/>
        <w:caps w:val="0"/>
        <w:color w:val="auto"/>
        <w:u w:val="none"/>
      </w:rPr>
    </w:lvl>
    <w:lvl w:ilvl="7">
      <w:start w:val="1"/>
      <w:numFmt w:val="lowerRoman"/>
      <w:lvlText w:val="%8."/>
      <w:lvlJc w:val="left"/>
      <w:pPr>
        <w:tabs>
          <w:tab w:val="num" w:pos="5760"/>
        </w:tabs>
        <w:ind w:left="0" w:firstLine="5040"/>
      </w:pPr>
      <w:rPr>
        <w:rFonts w:ascii="Times New Roman" w:hAnsi="Times New Roman"/>
        <w:b w:val="0"/>
        <w:i w:val="0"/>
        <w:caps w:val="0"/>
        <w:color w:val="auto"/>
        <w:u w:val="none"/>
      </w:rPr>
    </w:lvl>
    <w:lvl w:ilvl="8">
      <w:start w:val="1"/>
      <w:numFmt w:val="decimal"/>
      <w:lvlText w:val="%9."/>
      <w:lvlJc w:val="left"/>
      <w:pPr>
        <w:tabs>
          <w:tab w:val="num" w:pos="6480"/>
        </w:tabs>
        <w:ind w:left="0" w:firstLine="5760"/>
      </w:pPr>
      <w:rPr>
        <w:rFonts w:ascii="Times New Roman" w:hAnsi="Times New Roman" w:cs="Times New Roman" w:hint="default"/>
        <w:b w:val="0"/>
        <w:i w:val="0"/>
        <w:caps w:val="0"/>
        <w:color w:val="auto"/>
        <w:u w:val="none"/>
      </w:rPr>
    </w:lvl>
  </w:abstractNum>
  <w:abstractNum w:abstractNumId="4" w15:restartNumberingAfterBreak="0">
    <w:nsid w:val="360B0326"/>
    <w:multiLevelType w:val="hybridMultilevel"/>
    <w:tmpl w:val="F0AA6964"/>
    <w:lvl w:ilvl="0" w:tplc="2F8688FA">
      <w:start w:val="1"/>
      <w:numFmt w:val="bullet"/>
      <w:lvlText w:val=""/>
      <w:lvlJc w:val="left"/>
      <w:pPr>
        <w:ind w:left="720" w:hanging="360"/>
      </w:pPr>
      <w:rPr>
        <w:rFonts w:ascii="Symbol" w:hAnsi="Symbol" w:hint="default"/>
      </w:rPr>
    </w:lvl>
    <w:lvl w:ilvl="1" w:tplc="7EF06282" w:tentative="1">
      <w:start w:val="1"/>
      <w:numFmt w:val="bullet"/>
      <w:lvlText w:val="o"/>
      <w:lvlJc w:val="left"/>
      <w:pPr>
        <w:ind w:left="1440" w:hanging="360"/>
      </w:pPr>
      <w:rPr>
        <w:rFonts w:ascii="Courier New" w:hAnsi="Courier New" w:cs="Courier New" w:hint="default"/>
      </w:rPr>
    </w:lvl>
    <w:lvl w:ilvl="2" w:tplc="A9A48C6A" w:tentative="1">
      <w:start w:val="1"/>
      <w:numFmt w:val="bullet"/>
      <w:lvlText w:val=""/>
      <w:lvlJc w:val="left"/>
      <w:pPr>
        <w:ind w:left="2160" w:hanging="360"/>
      </w:pPr>
      <w:rPr>
        <w:rFonts w:ascii="Wingdings" w:hAnsi="Wingdings" w:hint="default"/>
      </w:rPr>
    </w:lvl>
    <w:lvl w:ilvl="3" w:tplc="3AB6A4C6" w:tentative="1">
      <w:start w:val="1"/>
      <w:numFmt w:val="bullet"/>
      <w:lvlText w:val=""/>
      <w:lvlJc w:val="left"/>
      <w:pPr>
        <w:ind w:left="2880" w:hanging="360"/>
      </w:pPr>
      <w:rPr>
        <w:rFonts w:ascii="Symbol" w:hAnsi="Symbol" w:hint="default"/>
      </w:rPr>
    </w:lvl>
    <w:lvl w:ilvl="4" w:tplc="CC4AC6E0" w:tentative="1">
      <w:start w:val="1"/>
      <w:numFmt w:val="bullet"/>
      <w:lvlText w:val="o"/>
      <w:lvlJc w:val="left"/>
      <w:pPr>
        <w:ind w:left="3600" w:hanging="360"/>
      </w:pPr>
      <w:rPr>
        <w:rFonts w:ascii="Courier New" w:hAnsi="Courier New" w:cs="Courier New" w:hint="default"/>
      </w:rPr>
    </w:lvl>
    <w:lvl w:ilvl="5" w:tplc="FB64C37E" w:tentative="1">
      <w:start w:val="1"/>
      <w:numFmt w:val="bullet"/>
      <w:lvlText w:val=""/>
      <w:lvlJc w:val="left"/>
      <w:pPr>
        <w:ind w:left="4320" w:hanging="360"/>
      </w:pPr>
      <w:rPr>
        <w:rFonts w:ascii="Wingdings" w:hAnsi="Wingdings" w:hint="default"/>
      </w:rPr>
    </w:lvl>
    <w:lvl w:ilvl="6" w:tplc="566CD0A2" w:tentative="1">
      <w:start w:val="1"/>
      <w:numFmt w:val="bullet"/>
      <w:lvlText w:val=""/>
      <w:lvlJc w:val="left"/>
      <w:pPr>
        <w:ind w:left="5040" w:hanging="360"/>
      </w:pPr>
      <w:rPr>
        <w:rFonts w:ascii="Symbol" w:hAnsi="Symbol" w:hint="default"/>
      </w:rPr>
    </w:lvl>
    <w:lvl w:ilvl="7" w:tplc="935837FE" w:tentative="1">
      <w:start w:val="1"/>
      <w:numFmt w:val="bullet"/>
      <w:lvlText w:val="o"/>
      <w:lvlJc w:val="left"/>
      <w:pPr>
        <w:ind w:left="5760" w:hanging="360"/>
      </w:pPr>
      <w:rPr>
        <w:rFonts w:ascii="Courier New" w:hAnsi="Courier New" w:cs="Courier New" w:hint="default"/>
      </w:rPr>
    </w:lvl>
    <w:lvl w:ilvl="8" w:tplc="855A4F7E" w:tentative="1">
      <w:start w:val="1"/>
      <w:numFmt w:val="bullet"/>
      <w:lvlText w:val=""/>
      <w:lvlJc w:val="left"/>
      <w:pPr>
        <w:ind w:left="6480" w:hanging="360"/>
      </w:pPr>
      <w:rPr>
        <w:rFonts w:ascii="Wingdings" w:hAnsi="Wingdings" w:hint="default"/>
      </w:rPr>
    </w:lvl>
  </w:abstractNum>
  <w:abstractNum w:abstractNumId="5" w15:restartNumberingAfterBreak="0">
    <w:nsid w:val="3CBB1E0D"/>
    <w:multiLevelType w:val="multilevel"/>
    <w:tmpl w:val="E34A1F0E"/>
    <w:lvl w:ilvl="0">
      <w:start w:val="1"/>
      <w:numFmt w:val="bullet"/>
      <w:pStyle w:val="List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sz w:val="20"/>
      </w:rPr>
    </w:lvl>
    <w:lvl w:ilvl="2">
      <w:start w:val="1"/>
      <w:numFmt w:val="bullet"/>
      <w:lvlText w:val=""/>
      <w:lvlJc w:val="left"/>
      <w:pPr>
        <w:tabs>
          <w:tab w:val="num" w:pos="2160"/>
        </w:tabs>
        <w:ind w:left="2160" w:hanging="720"/>
      </w:pPr>
      <w:rPr>
        <w:rFonts w:ascii="Symbol" w:hAnsi="Symbol" w:hint="default"/>
        <w:sz w:val="28"/>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C4B2AEA"/>
    <w:multiLevelType w:val="multilevel"/>
    <w:tmpl w:val="2FF40686"/>
    <w:name w:val="List_4"/>
    <w:lvl w:ilvl="0">
      <w:start w:val="1"/>
      <w:numFmt w:val="lowerLetter"/>
      <w:lvlText w:val="(%1)"/>
      <w:lvlJc w:val="left"/>
      <w:pPr>
        <w:tabs>
          <w:tab w:val="num" w:pos="624"/>
        </w:tabs>
        <w:ind w:left="624" w:hanging="624"/>
      </w:pPr>
      <w:rPr>
        <w:rFonts w:hint="default"/>
        <w:b w:val="0"/>
        <w:i w:val="0"/>
        <w:sz w:val="20"/>
      </w:rPr>
    </w:lvl>
    <w:lvl w:ilvl="1">
      <w:start w:val="1"/>
      <w:numFmt w:val="lowerLetter"/>
      <w:lvlText w:val="(%2)"/>
      <w:lvlJc w:val="left"/>
      <w:pPr>
        <w:tabs>
          <w:tab w:val="num" w:pos="1417"/>
        </w:tabs>
        <w:ind w:left="1417" w:hanging="793"/>
      </w:pPr>
      <w:rPr>
        <w:rFonts w:hint="default"/>
        <w:b w:val="0"/>
        <w:i w:val="0"/>
        <w:sz w:val="22"/>
        <w:szCs w:val="22"/>
      </w:rPr>
    </w:lvl>
    <w:lvl w:ilvl="2">
      <w:start w:val="1"/>
      <w:numFmt w:val="lowerLetter"/>
      <w:lvlText w:val="(%3)"/>
      <w:lvlJc w:val="left"/>
      <w:pPr>
        <w:tabs>
          <w:tab w:val="num" w:pos="1928"/>
        </w:tabs>
        <w:ind w:left="1928" w:hanging="511"/>
      </w:pPr>
      <w:rPr>
        <w:rFonts w:hint="default"/>
        <w:b w:val="0"/>
        <w:i w:val="0"/>
        <w:sz w:val="20"/>
      </w:rPr>
    </w:lvl>
    <w:lvl w:ilvl="3">
      <w:start w:val="1"/>
      <w:numFmt w:val="none"/>
      <w:suff w:val="nothing"/>
      <w:lvlText w:val=""/>
      <w:lvlJc w:val="left"/>
      <w:pPr>
        <w:ind w:left="0" w:firstLine="0"/>
      </w:pPr>
      <w:rPr>
        <w:rFonts w:hint="default"/>
      </w:rPr>
    </w:lvl>
    <w:lvl w:ilvl="4">
      <w:start w:val="1"/>
      <w:numFmt w:val="none"/>
      <w:pStyle w:val="DefinitionsL1"/>
      <w:suff w:val="nothing"/>
      <w:lvlText w:val=""/>
      <w:lvlJc w:val="left"/>
      <w:pPr>
        <w:ind w:left="0" w:firstLine="0"/>
      </w:pPr>
      <w:rPr>
        <w:rFonts w:hint="default"/>
      </w:rPr>
    </w:lvl>
    <w:lvl w:ilvl="5">
      <w:start w:val="1"/>
      <w:numFmt w:val="none"/>
      <w:pStyle w:val="DefinitionsL2"/>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5AFD5F3A"/>
    <w:multiLevelType w:val="multilevel"/>
    <w:tmpl w:val="BFA0E6FA"/>
    <w:lvl w:ilvl="0">
      <w:start w:val="1"/>
      <w:numFmt w:val="decimal"/>
      <w:pStyle w:val="List"/>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080"/>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3C01931"/>
    <w:multiLevelType w:val="hybridMultilevel"/>
    <w:tmpl w:val="2B6E7D5C"/>
    <w:lvl w:ilvl="0" w:tplc="CBF4C704">
      <w:start w:val="1"/>
      <w:numFmt w:val="decimal"/>
      <w:lvlText w:val="%1."/>
      <w:lvlJc w:val="left"/>
      <w:pPr>
        <w:ind w:left="720" w:hanging="360"/>
      </w:pPr>
    </w:lvl>
    <w:lvl w:ilvl="1" w:tplc="766A383E" w:tentative="1">
      <w:start w:val="1"/>
      <w:numFmt w:val="lowerLetter"/>
      <w:lvlText w:val="%2."/>
      <w:lvlJc w:val="left"/>
      <w:pPr>
        <w:ind w:left="1440" w:hanging="360"/>
      </w:pPr>
    </w:lvl>
    <w:lvl w:ilvl="2" w:tplc="FFA03E8A" w:tentative="1">
      <w:start w:val="1"/>
      <w:numFmt w:val="lowerRoman"/>
      <w:lvlText w:val="%3."/>
      <w:lvlJc w:val="right"/>
      <w:pPr>
        <w:ind w:left="2160" w:hanging="180"/>
      </w:pPr>
    </w:lvl>
    <w:lvl w:ilvl="3" w:tplc="89504FCC" w:tentative="1">
      <w:start w:val="1"/>
      <w:numFmt w:val="decimal"/>
      <w:lvlText w:val="%4."/>
      <w:lvlJc w:val="left"/>
      <w:pPr>
        <w:ind w:left="2880" w:hanging="360"/>
      </w:pPr>
    </w:lvl>
    <w:lvl w:ilvl="4" w:tplc="ABB280EE" w:tentative="1">
      <w:start w:val="1"/>
      <w:numFmt w:val="lowerLetter"/>
      <w:lvlText w:val="%5."/>
      <w:lvlJc w:val="left"/>
      <w:pPr>
        <w:ind w:left="3600" w:hanging="360"/>
      </w:pPr>
    </w:lvl>
    <w:lvl w:ilvl="5" w:tplc="AB601A1A" w:tentative="1">
      <w:start w:val="1"/>
      <w:numFmt w:val="lowerRoman"/>
      <w:lvlText w:val="%6."/>
      <w:lvlJc w:val="right"/>
      <w:pPr>
        <w:ind w:left="4320" w:hanging="180"/>
      </w:pPr>
    </w:lvl>
    <w:lvl w:ilvl="6" w:tplc="C8F26718" w:tentative="1">
      <w:start w:val="1"/>
      <w:numFmt w:val="decimal"/>
      <w:lvlText w:val="%7."/>
      <w:lvlJc w:val="left"/>
      <w:pPr>
        <w:ind w:left="5040" w:hanging="360"/>
      </w:pPr>
    </w:lvl>
    <w:lvl w:ilvl="7" w:tplc="6546C52A" w:tentative="1">
      <w:start w:val="1"/>
      <w:numFmt w:val="lowerLetter"/>
      <w:lvlText w:val="%8."/>
      <w:lvlJc w:val="left"/>
      <w:pPr>
        <w:ind w:left="5760" w:hanging="360"/>
      </w:pPr>
    </w:lvl>
    <w:lvl w:ilvl="8" w:tplc="81D41CB8" w:tentative="1">
      <w:start w:val="1"/>
      <w:numFmt w:val="lowerRoman"/>
      <w:lvlText w:val="%9."/>
      <w:lvlJc w:val="right"/>
      <w:pPr>
        <w:ind w:left="6480" w:hanging="180"/>
      </w:pPr>
    </w:lvl>
  </w:abstractNum>
  <w:abstractNum w:abstractNumId="9" w15:restartNumberingAfterBreak="0">
    <w:nsid w:val="64AE2D00"/>
    <w:multiLevelType w:val="multilevel"/>
    <w:tmpl w:val="760AD3C6"/>
    <w:lvl w:ilvl="0">
      <w:start w:val="1"/>
      <w:numFmt w:val="decimal"/>
      <w:lvlText w:val="%1"/>
      <w:lvlJc w:val="left"/>
      <w:pPr>
        <w:tabs>
          <w:tab w:val="num" w:pos="720"/>
        </w:tabs>
        <w:ind w:left="720" w:hanging="720"/>
      </w:pPr>
      <w:rPr>
        <w:rFonts w:ascii="Arial" w:hAnsi="Arial" w:hint="default"/>
        <w:b w:val="0"/>
        <w:i w:val="0"/>
        <w:sz w:val="32"/>
        <w:szCs w:val="32"/>
      </w:rPr>
    </w:lvl>
    <w:lvl w:ilvl="1">
      <w:start w:val="1"/>
      <w:numFmt w:val="decimal"/>
      <w:lvlText w:val="%1.%2"/>
      <w:lvlJc w:val="left"/>
      <w:pPr>
        <w:tabs>
          <w:tab w:val="num" w:pos="720"/>
        </w:tabs>
        <w:ind w:left="720" w:hanging="720"/>
      </w:pPr>
      <w:rPr>
        <w:rFonts w:hint="default"/>
      </w:rPr>
    </w:lvl>
    <w:lvl w:ilvl="2">
      <w:start w:val="1"/>
      <w:numFmt w:val="lowerLetter"/>
      <w:pStyle w:val="ScheduleText3"/>
      <w:lvlText w:val="(%3)"/>
      <w:lvlJc w:val="left"/>
      <w:pPr>
        <w:tabs>
          <w:tab w:val="num" w:pos="1440"/>
        </w:tabs>
        <w:ind w:left="1440" w:hanging="720"/>
      </w:pPr>
      <w:rPr>
        <w:rFonts w:ascii="Georgia" w:hAnsi="Georgia" w:hint="default"/>
        <w:b w:val="0"/>
        <w:i w:val="0"/>
        <w:sz w:val="22"/>
      </w:rPr>
    </w:lvl>
    <w:lvl w:ilvl="3">
      <w:start w:val="1"/>
      <w:numFmt w:val="lowerRoman"/>
      <w:pStyle w:val="ScheduleText4"/>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upperLetter"/>
      <w:lvlText w:val="(%6)"/>
      <w:lvlJc w:val="left"/>
      <w:pPr>
        <w:tabs>
          <w:tab w:val="num" w:pos="3600"/>
        </w:tabs>
        <w:ind w:left="3600" w:hanging="720"/>
      </w:pPr>
      <w:rPr>
        <w:rFonts w:ascii="Arial" w:hAnsi="Arial" w:hint="default"/>
        <w:b w:val="0"/>
        <w:i w:val="0"/>
        <w:sz w:val="22"/>
      </w:rPr>
    </w:lvl>
    <w:lvl w:ilvl="6">
      <w:start w:val="1"/>
      <w:numFmt w:val="upperRoman"/>
      <w:lvlText w:val="(%7)"/>
      <w:lvlJc w:val="left"/>
      <w:pPr>
        <w:tabs>
          <w:tab w:val="num" w:pos="4321"/>
        </w:tabs>
        <w:ind w:left="4321" w:hanging="721"/>
      </w:pPr>
      <w:rPr>
        <w:rFonts w:hint="default"/>
      </w:rPr>
    </w:lvl>
    <w:lvl w:ilvl="7">
      <w:start w:val="1"/>
      <w:numFmt w:val="decimalZero"/>
      <w:lvlText w:val="(%8)"/>
      <w:lvlJc w:val="left"/>
      <w:pPr>
        <w:tabs>
          <w:tab w:val="num" w:pos="5041"/>
        </w:tabs>
        <w:ind w:left="5041" w:hanging="720"/>
      </w:pPr>
      <w:rPr>
        <w:rFonts w:hint="default"/>
      </w:rPr>
    </w:lvl>
    <w:lvl w:ilvl="8">
      <w:start w:val="1"/>
      <w:numFmt w:val="ordinal"/>
      <w:lvlText w:val="%9"/>
      <w:lvlJc w:val="left"/>
      <w:pPr>
        <w:tabs>
          <w:tab w:val="num" w:pos="5761"/>
        </w:tabs>
        <w:ind w:left="5761" w:hanging="720"/>
      </w:pPr>
      <w:rPr>
        <w:rFonts w:ascii="Arial" w:hAnsi="Arial" w:hint="default"/>
        <w:b w:val="0"/>
        <w:i w:val="0"/>
        <w:sz w:val="22"/>
      </w:rPr>
    </w:lvl>
  </w:abstractNum>
  <w:abstractNum w:abstractNumId="10" w15:restartNumberingAfterBreak="0">
    <w:nsid w:val="6B5E4B43"/>
    <w:multiLevelType w:val="multilevel"/>
    <w:tmpl w:val="C9DEBD22"/>
    <w:lvl w:ilvl="0">
      <w:start w:val="1"/>
      <w:numFmt w:val="decimal"/>
      <w:pStyle w:val="List4"/>
      <w:lvlText w:val="%1."/>
      <w:lvlJc w:val="left"/>
      <w:pPr>
        <w:tabs>
          <w:tab w:val="num" w:pos="720"/>
        </w:tabs>
        <w:ind w:left="0" w:firstLine="0"/>
      </w:pPr>
      <w:rPr>
        <w:rFonts w:ascii="Times New Roman" w:hAnsi="Times New Roman" w:cs="Times New Roman" w:hint="default"/>
        <w:b/>
        <w:i w:val="0"/>
        <w:caps w:val="0"/>
        <w:color w:val="auto"/>
        <w:u w:val="none"/>
      </w:rPr>
    </w:lvl>
    <w:lvl w:ilvl="1">
      <w:start w:val="1"/>
      <w:numFmt w:val="decimal"/>
      <w:lvlText w:val="%1.%2"/>
      <w:lvlJc w:val="left"/>
      <w:pPr>
        <w:tabs>
          <w:tab w:val="num" w:pos="720"/>
        </w:tabs>
        <w:ind w:left="0" w:firstLine="0"/>
      </w:pPr>
      <w:rPr>
        <w:rFonts w:ascii="Times New Roman" w:hAnsi="Times New Roman" w:cs="Times New Roman" w:hint="default"/>
        <w:b w:val="0"/>
        <w:i w:val="0"/>
        <w:caps w:val="0"/>
        <w:color w:val="auto"/>
        <w:sz w:val="22"/>
        <w:szCs w:val="22"/>
        <w:u w:val="none"/>
      </w:rPr>
    </w:lvl>
    <w:lvl w:ilvl="2">
      <w:start w:val="1"/>
      <w:numFmt w:val="lowerLetter"/>
      <w:lvlText w:val="(%3)"/>
      <w:lvlJc w:val="left"/>
      <w:pPr>
        <w:tabs>
          <w:tab w:val="num" w:pos="720"/>
        </w:tabs>
        <w:ind w:left="720" w:hanging="720"/>
      </w:pPr>
      <w:rPr>
        <w:rFonts w:ascii="Times New Roman" w:hAnsi="Times New Roman" w:cs="Times New Roman" w:hint="default"/>
        <w:b w:val="0"/>
        <w:i w:val="0"/>
        <w:caps w:val="0"/>
        <w:color w:val="auto"/>
        <w:sz w:val="22"/>
        <w:szCs w:val="22"/>
        <w:u w:val="none"/>
        <w:lang w:val="en-GB"/>
      </w:rPr>
    </w:lvl>
    <w:lvl w:ilvl="3">
      <w:start w:val="1"/>
      <w:numFmt w:val="lowerRoman"/>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Address"/>
      <w:lvlText w:val="(%5)"/>
      <w:lvlJc w:val="left"/>
      <w:pPr>
        <w:tabs>
          <w:tab w:val="num" w:pos="2250"/>
        </w:tabs>
        <w:ind w:left="2250" w:hanging="720"/>
      </w:pPr>
      <w:rPr>
        <w:rFonts w:ascii="Times New Roman" w:hAnsi="Times New Roman" w:hint="default"/>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hint="default"/>
        <w:b w:val="0"/>
        <w:i w:val="0"/>
        <w:caps w:val="0"/>
        <w:color w:val="auto"/>
        <w:u w:val="none"/>
      </w:rPr>
    </w:lvl>
    <w:lvl w:ilvl="7">
      <w:start w:val="1"/>
      <w:numFmt w:val="decimal"/>
      <w:pStyle w:val="Label"/>
      <w:lvlText w:val="(%8)"/>
      <w:lvlJc w:val="left"/>
      <w:pPr>
        <w:tabs>
          <w:tab w:val="num" w:pos="4320"/>
        </w:tabs>
        <w:ind w:left="4320" w:hanging="720"/>
      </w:pPr>
      <w:rPr>
        <w:rFonts w:ascii="Times New Roman" w:hAnsi="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hint="default"/>
        <w:b w:val="0"/>
        <w:i w:val="0"/>
        <w:caps w:val="0"/>
        <w:color w:val="auto"/>
        <w:u w:val="none"/>
      </w:rPr>
    </w:lvl>
  </w:abstractNum>
  <w:abstractNum w:abstractNumId="11" w15:restartNumberingAfterBreak="0">
    <w:nsid w:val="6CC10025"/>
    <w:multiLevelType w:val="hybridMultilevel"/>
    <w:tmpl w:val="7BA862B4"/>
    <w:lvl w:ilvl="0" w:tplc="1334FCD2">
      <w:start w:val="1"/>
      <w:numFmt w:val="bullet"/>
      <w:lvlText w:val=""/>
      <w:lvlJc w:val="left"/>
      <w:pPr>
        <w:ind w:left="360" w:hanging="360"/>
      </w:pPr>
      <w:rPr>
        <w:rFonts w:ascii="Symbol" w:hAnsi="Symbol" w:hint="default"/>
      </w:rPr>
    </w:lvl>
    <w:lvl w:ilvl="1" w:tplc="D152AD42">
      <w:start w:val="1"/>
      <w:numFmt w:val="decimal"/>
      <w:lvlText w:val="%2."/>
      <w:lvlJc w:val="left"/>
      <w:pPr>
        <w:tabs>
          <w:tab w:val="num" w:pos="1440"/>
        </w:tabs>
        <w:ind w:left="1440" w:hanging="360"/>
      </w:pPr>
    </w:lvl>
    <w:lvl w:ilvl="2" w:tplc="39049CA6">
      <w:start w:val="1"/>
      <w:numFmt w:val="decimal"/>
      <w:lvlText w:val="%3."/>
      <w:lvlJc w:val="left"/>
      <w:pPr>
        <w:tabs>
          <w:tab w:val="num" w:pos="2160"/>
        </w:tabs>
        <w:ind w:left="2160" w:hanging="360"/>
      </w:pPr>
    </w:lvl>
    <w:lvl w:ilvl="3" w:tplc="28E08FC6">
      <w:start w:val="1"/>
      <w:numFmt w:val="decimal"/>
      <w:lvlText w:val="%4."/>
      <w:lvlJc w:val="left"/>
      <w:pPr>
        <w:tabs>
          <w:tab w:val="num" w:pos="2880"/>
        </w:tabs>
        <w:ind w:left="2880" w:hanging="360"/>
      </w:pPr>
    </w:lvl>
    <w:lvl w:ilvl="4" w:tplc="2C3EC63A">
      <w:start w:val="1"/>
      <w:numFmt w:val="decimal"/>
      <w:lvlText w:val="%5."/>
      <w:lvlJc w:val="left"/>
      <w:pPr>
        <w:tabs>
          <w:tab w:val="num" w:pos="3600"/>
        </w:tabs>
        <w:ind w:left="3600" w:hanging="360"/>
      </w:pPr>
    </w:lvl>
    <w:lvl w:ilvl="5" w:tplc="4BCE6E30">
      <w:start w:val="1"/>
      <w:numFmt w:val="decimal"/>
      <w:lvlText w:val="%6."/>
      <w:lvlJc w:val="left"/>
      <w:pPr>
        <w:tabs>
          <w:tab w:val="num" w:pos="4320"/>
        </w:tabs>
        <w:ind w:left="4320" w:hanging="360"/>
      </w:pPr>
    </w:lvl>
    <w:lvl w:ilvl="6" w:tplc="C994E2B2">
      <w:start w:val="1"/>
      <w:numFmt w:val="decimal"/>
      <w:lvlText w:val="%7."/>
      <w:lvlJc w:val="left"/>
      <w:pPr>
        <w:tabs>
          <w:tab w:val="num" w:pos="5040"/>
        </w:tabs>
        <w:ind w:left="5040" w:hanging="360"/>
      </w:pPr>
    </w:lvl>
    <w:lvl w:ilvl="7" w:tplc="6C9E4028">
      <w:start w:val="1"/>
      <w:numFmt w:val="decimal"/>
      <w:lvlText w:val="%8."/>
      <w:lvlJc w:val="left"/>
      <w:pPr>
        <w:tabs>
          <w:tab w:val="num" w:pos="5760"/>
        </w:tabs>
        <w:ind w:left="5760" w:hanging="360"/>
      </w:pPr>
    </w:lvl>
    <w:lvl w:ilvl="8" w:tplc="BBE26ABC">
      <w:start w:val="1"/>
      <w:numFmt w:val="decimal"/>
      <w:lvlText w:val="%9."/>
      <w:lvlJc w:val="left"/>
      <w:pPr>
        <w:tabs>
          <w:tab w:val="num" w:pos="6480"/>
        </w:tabs>
        <w:ind w:left="6480" w:hanging="360"/>
      </w:pPr>
    </w:lvl>
  </w:abstractNum>
  <w:abstractNum w:abstractNumId="12" w15:restartNumberingAfterBreak="0">
    <w:nsid w:val="70497246"/>
    <w:multiLevelType w:val="hybridMultilevel"/>
    <w:tmpl w:val="7152B9EE"/>
    <w:lvl w:ilvl="0" w:tplc="627CB1EE">
      <w:start w:val="1"/>
      <w:numFmt w:val="bullet"/>
      <w:lvlText w:val=""/>
      <w:lvlJc w:val="left"/>
      <w:pPr>
        <w:ind w:left="720" w:hanging="360"/>
      </w:pPr>
      <w:rPr>
        <w:rFonts w:ascii="Symbol" w:hAnsi="Symbol" w:hint="default"/>
      </w:rPr>
    </w:lvl>
    <w:lvl w:ilvl="1" w:tplc="6FC44B62" w:tentative="1">
      <w:start w:val="1"/>
      <w:numFmt w:val="bullet"/>
      <w:lvlText w:val="o"/>
      <w:lvlJc w:val="left"/>
      <w:pPr>
        <w:ind w:left="1440" w:hanging="360"/>
      </w:pPr>
      <w:rPr>
        <w:rFonts w:ascii="Courier New" w:hAnsi="Courier New" w:cs="Courier New" w:hint="default"/>
      </w:rPr>
    </w:lvl>
    <w:lvl w:ilvl="2" w:tplc="7ED29BBE" w:tentative="1">
      <w:start w:val="1"/>
      <w:numFmt w:val="bullet"/>
      <w:lvlText w:val=""/>
      <w:lvlJc w:val="left"/>
      <w:pPr>
        <w:ind w:left="2160" w:hanging="360"/>
      </w:pPr>
      <w:rPr>
        <w:rFonts w:ascii="Wingdings" w:hAnsi="Wingdings" w:hint="default"/>
      </w:rPr>
    </w:lvl>
    <w:lvl w:ilvl="3" w:tplc="4A948396" w:tentative="1">
      <w:start w:val="1"/>
      <w:numFmt w:val="bullet"/>
      <w:lvlText w:val=""/>
      <w:lvlJc w:val="left"/>
      <w:pPr>
        <w:ind w:left="2880" w:hanging="360"/>
      </w:pPr>
      <w:rPr>
        <w:rFonts w:ascii="Symbol" w:hAnsi="Symbol" w:hint="default"/>
      </w:rPr>
    </w:lvl>
    <w:lvl w:ilvl="4" w:tplc="95043DE6" w:tentative="1">
      <w:start w:val="1"/>
      <w:numFmt w:val="bullet"/>
      <w:lvlText w:val="o"/>
      <w:lvlJc w:val="left"/>
      <w:pPr>
        <w:ind w:left="3600" w:hanging="360"/>
      </w:pPr>
      <w:rPr>
        <w:rFonts w:ascii="Courier New" w:hAnsi="Courier New" w:cs="Courier New" w:hint="default"/>
      </w:rPr>
    </w:lvl>
    <w:lvl w:ilvl="5" w:tplc="F4228012" w:tentative="1">
      <w:start w:val="1"/>
      <w:numFmt w:val="bullet"/>
      <w:lvlText w:val=""/>
      <w:lvlJc w:val="left"/>
      <w:pPr>
        <w:ind w:left="4320" w:hanging="360"/>
      </w:pPr>
      <w:rPr>
        <w:rFonts w:ascii="Wingdings" w:hAnsi="Wingdings" w:hint="default"/>
      </w:rPr>
    </w:lvl>
    <w:lvl w:ilvl="6" w:tplc="BEB013BE" w:tentative="1">
      <w:start w:val="1"/>
      <w:numFmt w:val="bullet"/>
      <w:lvlText w:val=""/>
      <w:lvlJc w:val="left"/>
      <w:pPr>
        <w:ind w:left="5040" w:hanging="360"/>
      </w:pPr>
      <w:rPr>
        <w:rFonts w:ascii="Symbol" w:hAnsi="Symbol" w:hint="default"/>
      </w:rPr>
    </w:lvl>
    <w:lvl w:ilvl="7" w:tplc="ADB8158A" w:tentative="1">
      <w:start w:val="1"/>
      <w:numFmt w:val="bullet"/>
      <w:lvlText w:val="o"/>
      <w:lvlJc w:val="left"/>
      <w:pPr>
        <w:ind w:left="5760" w:hanging="360"/>
      </w:pPr>
      <w:rPr>
        <w:rFonts w:ascii="Courier New" w:hAnsi="Courier New" w:cs="Courier New" w:hint="default"/>
      </w:rPr>
    </w:lvl>
    <w:lvl w:ilvl="8" w:tplc="BF467E84" w:tentative="1">
      <w:start w:val="1"/>
      <w:numFmt w:val="bullet"/>
      <w:lvlText w:val=""/>
      <w:lvlJc w:val="left"/>
      <w:pPr>
        <w:ind w:left="6480" w:hanging="360"/>
      </w:pPr>
      <w:rPr>
        <w:rFonts w:ascii="Wingdings" w:hAnsi="Wingdings" w:hint="default"/>
      </w:rPr>
    </w:lvl>
  </w:abstractNum>
  <w:abstractNum w:abstractNumId="13" w15:restartNumberingAfterBreak="0">
    <w:nsid w:val="73FA7DB2"/>
    <w:multiLevelType w:val="multilevel"/>
    <w:tmpl w:val="D5E2C1F2"/>
    <w:numStyleLink w:val="Style1"/>
  </w:abstractNum>
  <w:abstractNum w:abstractNumId="14" w15:restartNumberingAfterBreak="0">
    <w:nsid w:val="753F53E4"/>
    <w:multiLevelType w:val="hybridMultilevel"/>
    <w:tmpl w:val="819CE2CC"/>
    <w:lvl w:ilvl="0" w:tplc="4580AB20">
      <w:start w:val="1"/>
      <w:numFmt w:val="bullet"/>
      <w:lvlText w:val=""/>
      <w:lvlJc w:val="left"/>
      <w:pPr>
        <w:ind w:left="360" w:hanging="360"/>
      </w:pPr>
      <w:rPr>
        <w:rFonts w:ascii="Symbol" w:hAnsi="Symbol" w:hint="default"/>
      </w:rPr>
    </w:lvl>
    <w:lvl w:ilvl="1" w:tplc="9544BD4C">
      <w:start w:val="1"/>
      <w:numFmt w:val="decimal"/>
      <w:lvlText w:val="%2."/>
      <w:lvlJc w:val="left"/>
      <w:pPr>
        <w:tabs>
          <w:tab w:val="num" w:pos="1440"/>
        </w:tabs>
        <w:ind w:left="1440" w:hanging="360"/>
      </w:pPr>
    </w:lvl>
    <w:lvl w:ilvl="2" w:tplc="84DC93EE">
      <w:start w:val="1"/>
      <w:numFmt w:val="decimal"/>
      <w:lvlText w:val="%3."/>
      <w:lvlJc w:val="left"/>
      <w:pPr>
        <w:tabs>
          <w:tab w:val="num" w:pos="2160"/>
        </w:tabs>
        <w:ind w:left="2160" w:hanging="360"/>
      </w:pPr>
    </w:lvl>
    <w:lvl w:ilvl="3" w:tplc="8E607C50">
      <w:start w:val="1"/>
      <w:numFmt w:val="decimal"/>
      <w:lvlText w:val="%4."/>
      <w:lvlJc w:val="left"/>
      <w:pPr>
        <w:tabs>
          <w:tab w:val="num" w:pos="2880"/>
        </w:tabs>
        <w:ind w:left="2880" w:hanging="360"/>
      </w:pPr>
    </w:lvl>
    <w:lvl w:ilvl="4" w:tplc="91C0EC28">
      <w:start w:val="1"/>
      <w:numFmt w:val="decimal"/>
      <w:lvlText w:val="%5."/>
      <w:lvlJc w:val="left"/>
      <w:pPr>
        <w:tabs>
          <w:tab w:val="num" w:pos="3600"/>
        </w:tabs>
        <w:ind w:left="3600" w:hanging="360"/>
      </w:pPr>
    </w:lvl>
    <w:lvl w:ilvl="5" w:tplc="3B9A03FA">
      <w:start w:val="1"/>
      <w:numFmt w:val="decimal"/>
      <w:lvlText w:val="%6."/>
      <w:lvlJc w:val="left"/>
      <w:pPr>
        <w:tabs>
          <w:tab w:val="num" w:pos="4320"/>
        </w:tabs>
        <w:ind w:left="4320" w:hanging="360"/>
      </w:pPr>
    </w:lvl>
    <w:lvl w:ilvl="6" w:tplc="E2BE0E0C">
      <w:start w:val="1"/>
      <w:numFmt w:val="decimal"/>
      <w:lvlText w:val="%7."/>
      <w:lvlJc w:val="left"/>
      <w:pPr>
        <w:tabs>
          <w:tab w:val="num" w:pos="5040"/>
        </w:tabs>
        <w:ind w:left="5040" w:hanging="360"/>
      </w:pPr>
    </w:lvl>
    <w:lvl w:ilvl="7" w:tplc="493E358C">
      <w:start w:val="1"/>
      <w:numFmt w:val="decimal"/>
      <w:lvlText w:val="%8."/>
      <w:lvlJc w:val="left"/>
      <w:pPr>
        <w:tabs>
          <w:tab w:val="num" w:pos="5760"/>
        </w:tabs>
        <w:ind w:left="5760" w:hanging="360"/>
      </w:pPr>
    </w:lvl>
    <w:lvl w:ilvl="8" w:tplc="922E854C">
      <w:start w:val="1"/>
      <w:numFmt w:val="decimal"/>
      <w:lvlText w:val="%9."/>
      <w:lvlJc w:val="left"/>
      <w:pPr>
        <w:tabs>
          <w:tab w:val="num" w:pos="6480"/>
        </w:tabs>
        <w:ind w:left="6480" w:hanging="360"/>
      </w:pPr>
    </w:lvl>
  </w:abstractNum>
  <w:abstractNum w:abstractNumId="15" w15:restartNumberingAfterBreak="0">
    <w:nsid w:val="75D070B4"/>
    <w:multiLevelType w:val="multilevel"/>
    <w:tmpl w:val="D5E2C1F2"/>
    <w:styleLink w:val="Style1"/>
    <w:lvl w:ilvl="0">
      <w:start w:val="1"/>
      <w:numFmt w:val="decimal"/>
      <w:pStyle w:val="ScheduleText1"/>
      <w:lvlText w:val="%1"/>
      <w:lvlJc w:val="left"/>
      <w:pPr>
        <w:tabs>
          <w:tab w:val="num" w:pos="720"/>
        </w:tabs>
        <w:ind w:left="720" w:hanging="720"/>
      </w:pPr>
      <w:rPr>
        <w:rFonts w:ascii="Arial" w:hAnsi="Arial" w:hint="default"/>
        <w:b/>
        <w:i w:val="0"/>
        <w:sz w:val="22"/>
        <w:szCs w:val="32"/>
      </w:rPr>
    </w:lvl>
    <w:lvl w:ilvl="1">
      <w:start w:val="1"/>
      <w:numFmt w:val="decimal"/>
      <w:pStyle w:val="ScheduleText2"/>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ascii="Arial" w:hAnsi="Arial" w:hint="default"/>
        <w:b w:val="0"/>
        <w:i w:val="0"/>
        <w:sz w:val="22"/>
      </w:rPr>
    </w:lvl>
    <w:lvl w:ilvl="3">
      <w:start w:val="1"/>
      <w:numFmt w:val="lowerRoman"/>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upperLetter"/>
      <w:lvlText w:val="(%6)"/>
      <w:lvlJc w:val="left"/>
      <w:pPr>
        <w:tabs>
          <w:tab w:val="num" w:pos="3600"/>
        </w:tabs>
        <w:ind w:left="3600" w:hanging="720"/>
      </w:pPr>
      <w:rPr>
        <w:rFonts w:ascii="Arial" w:hAnsi="Arial" w:hint="default"/>
        <w:b w:val="0"/>
        <w:i w:val="0"/>
        <w:sz w:val="22"/>
      </w:rPr>
    </w:lvl>
    <w:lvl w:ilvl="6">
      <w:start w:val="1"/>
      <w:numFmt w:val="upperRoman"/>
      <w:lvlText w:val="(%7)"/>
      <w:lvlJc w:val="left"/>
      <w:pPr>
        <w:tabs>
          <w:tab w:val="num" w:pos="4321"/>
        </w:tabs>
        <w:ind w:left="4321" w:hanging="721"/>
      </w:pPr>
      <w:rPr>
        <w:rFonts w:hint="default"/>
      </w:rPr>
    </w:lvl>
    <w:lvl w:ilvl="7">
      <w:start w:val="1"/>
      <w:numFmt w:val="decimalZero"/>
      <w:lvlText w:val="(%8)"/>
      <w:lvlJc w:val="left"/>
      <w:pPr>
        <w:tabs>
          <w:tab w:val="num" w:pos="5041"/>
        </w:tabs>
        <w:ind w:left="5041" w:hanging="720"/>
      </w:pPr>
      <w:rPr>
        <w:rFonts w:hint="default"/>
      </w:rPr>
    </w:lvl>
    <w:lvl w:ilvl="8">
      <w:start w:val="1"/>
      <w:numFmt w:val="ordinal"/>
      <w:lvlText w:val="%9"/>
      <w:lvlJc w:val="left"/>
      <w:pPr>
        <w:tabs>
          <w:tab w:val="num" w:pos="5761"/>
        </w:tabs>
        <w:ind w:left="5761" w:hanging="720"/>
      </w:pPr>
      <w:rPr>
        <w:rFonts w:ascii="Arial" w:hAnsi="Arial" w:hint="default"/>
        <w:b w:val="0"/>
        <w:i w:val="0"/>
        <w:sz w:val="22"/>
      </w:rPr>
    </w:lvl>
  </w:abstractNum>
  <w:abstractNum w:abstractNumId="16" w15:restartNumberingAfterBreak="0">
    <w:nsid w:val="75D0754E"/>
    <w:multiLevelType w:val="singleLevel"/>
    <w:tmpl w:val="95CAF34C"/>
    <w:lvl w:ilvl="0">
      <w:start w:val="1"/>
      <w:numFmt w:val="lowerLetter"/>
      <w:pStyle w:val="Definitionsnumbered"/>
      <w:lvlText w:val="(%1)"/>
      <w:lvlJc w:val="left"/>
      <w:pPr>
        <w:tabs>
          <w:tab w:val="num" w:pos="720"/>
        </w:tabs>
        <w:ind w:left="720" w:hanging="720"/>
      </w:pPr>
      <w:rPr>
        <w:rFonts w:hint="default"/>
      </w:rPr>
    </w:lvl>
  </w:abstractNum>
  <w:abstractNum w:abstractNumId="17" w15:restartNumberingAfterBreak="0">
    <w:nsid w:val="7F775F6A"/>
    <w:multiLevelType w:val="hybridMultilevel"/>
    <w:tmpl w:val="62AA71C0"/>
    <w:lvl w:ilvl="0" w:tplc="3C7E338E">
      <w:start w:val="1"/>
      <w:numFmt w:val="decimal"/>
      <w:lvlText w:val="%1."/>
      <w:lvlJc w:val="left"/>
      <w:pPr>
        <w:ind w:left="720" w:hanging="360"/>
      </w:pPr>
      <w:rPr>
        <w:rFonts w:hint="default"/>
      </w:rPr>
    </w:lvl>
    <w:lvl w:ilvl="1" w:tplc="4D201248" w:tentative="1">
      <w:start w:val="1"/>
      <w:numFmt w:val="bullet"/>
      <w:lvlText w:val="o"/>
      <w:lvlJc w:val="left"/>
      <w:pPr>
        <w:ind w:left="1440" w:hanging="360"/>
      </w:pPr>
      <w:rPr>
        <w:rFonts w:ascii="Courier New" w:hAnsi="Courier New" w:cs="Courier New" w:hint="default"/>
      </w:rPr>
    </w:lvl>
    <w:lvl w:ilvl="2" w:tplc="D938DF7E" w:tentative="1">
      <w:start w:val="1"/>
      <w:numFmt w:val="bullet"/>
      <w:lvlText w:val=""/>
      <w:lvlJc w:val="left"/>
      <w:pPr>
        <w:ind w:left="2160" w:hanging="360"/>
      </w:pPr>
      <w:rPr>
        <w:rFonts w:ascii="Wingdings" w:hAnsi="Wingdings" w:hint="default"/>
      </w:rPr>
    </w:lvl>
    <w:lvl w:ilvl="3" w:tplc="944809DA" w:tentative="1">
      <w:start w:val="1"/>
      <w:numFmt w:val="bullet"/>
      <w:lvlText w:val=""/>
      <w:lvlJc w:val="left"/>
      <w:pPr>
        <w:ind w:left="2880" w:hanging="360"/>
      </w:pPr>
      <w:rPr>
        <w:rFonts w:ascii="Symbol" w:hAnsi="Symbol" w:hint="default"/>
      </w:rPr>
    </w:lvl>
    <w:lvl w:ilvl="4" w:tplc="65FE5850" w:tentative="1">
      <w:start w:val="1"/>
      <w:numFmt w:val="bullet"/>
      <w:lvlText w:val="o"/>
      <w:lvlJc w:val="left"/>
      <w:pPr>
        <w:ind w:left="3600" w:hanging="360"/>
      </w:pPr>
      <w:rPr>
        <w:rFonts w:ascii="Courier New" w:hAnsi="Courier New" w:cs="Courier New" w:hint="default"/>
      </w:rPr>
    </w:lvl>
    <w:lvl w:ilvl="5" w:tplc="8C622396" w:tentative="1">
      <w:start w:val="1"/>
      <w:numFmt w:val="bullet"/>
      <w:lvlText w:val=""/>
      <w:lvlJc w:val="left"/>
      <w:pPr>
        <w:ind w:left="4320" w:hanging="360"/>
      </w:pPr>
      <w:rPr>
        <w:rFonts w:ascii="Wingdings" w:hAnsi="Wingdings" w:hint="default"/>
      </w:rPr>
    </w:lvl>
    <w:lvl w:ilvl="6" w:tplc="A1246A7E" w:tentative="1">
      <w:start w:val="1"/>
      <w:numFmt w:val="bullet"/>
      <w:lvlText w:val=""/>
      <w:lvlJc w:val="left"/>
      <w:pPr>
        <w:ind w:left="5040" w:hanging="360"/>
      </w:pPr>
      <w:rPr>
        <w:rFonts w:ascii="Symbol" w:hAnsi="Symbol" w:hint="default"/>
      </w:rPr>
    </w:lvl>
    <w:lvl w:ilvl="7" w:tplc="BCC0A71A" w:tentative="1">
      <w:start w:val="1"/>
      <w:numFmt w:val="bullet"/>
      <w:lvlText w:val="o"/>
      <w:lvlJc w:val="left"/>
      <w:pPr>
        <w:ind w:left="5760" w:hanging="360"/>
      </w:pPr>
      <w:rPr>
        <w:rFonts w:ascii="Courier New" w:hAnsi="Courier New" w:cs="Courier New" w:hint="default"/>
      </w:rPr>
    </w:lvl>
    <w:lvl w:ilvl="8" w:tplc="003E9246"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16"/>
  </w:num>
  <w:num w:numId="5">
    <w:abstractNumId w:val="0"/>
  </w:num>
  <w:num w:numId="6">
    <w:abstractNumId w:val="9"/>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8"/>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4"/>
  </w:num>
  <w:num w:numId="16">
    <w:abstractNumId w:val="15"/>
  </w:num>
  <w:num w:numId="17">
    <w:abstractNumId w:val="13"/>
    <w:lvlOverride w:ilvl="0">
      <w:lvl w:ilvl="0">
        <w:start w:val="1"/>
        <w:numFmt w:val="decimal"/>
        <w:pStyle w:val="ScheduleText1"/>
        <w:lvlText w:val="%1"/>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spacing w:val="0"/>
          <w:w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1">
      <w:lvl w:ilvl="1">
        <w:start w:val="1"/>
        <w:numFmt w:val="decimal"/>
        <w:pStyle w:val="ScheduleText2"/>
        <w:lvlText w:val="%1.%2"/>
        <w:lvlJc w:val="left"/>
        <w:pPr>
          <w:tabs>
            <w:tab w:val="num" w:pos="720"/>
          </w:tabs>
          <w:ind w:left="720" w:hanging="720"/>
        </w:pPr>
        <w:rPr>
          <w:rFonts w:hint="default"/>
        </w:rPr>
      </w:lvl>
    </w:lvlOverride>
    <w:lvlOverride w:ilvl="2">
      <w:lvl w:ilvl="2">
        <w:start w:val="1"/>
        <w:numFmt w:val="lowerLetter"/>
        <w:lvlText w:val="(%3)"/>
        <w:lvlJc w:val="left"/>
        <w:pPr>
          <w:tabs>
            <w:tab w:val="num" w:pos="1440"/>
          </w:tabs>
          <w:ind w:left="1440" w:hanging="720"/>
        </w:pPr>
        <w:rPr>
          <w:rFonts w:ascii="Georgia" w:hAnsi="Georgia" w:hint="default"/>
          <w:b w:val="0"/>
          <w:i/>
          <w:sz w:val="22"/>
        </w:rPr>
      </w:lvl>
    </w:lvlOverride>
    <w:lvlOverride w:ilvl="3">
      <w:lvl w:ilvl="3">
        <w:start w:val="1"/>
        <w:numFmt w:val="lowerRoman"/>
        <w:lvlText w:val="(%4)"/>
        <w:lvlJc w:val="left"/>
        <w:pPr>
          <w:tabs>
            <w:tab w:val="num" w:pos="2160"/>
          </w:tabs>
          <w:ind w:left="2160" w:hanging="720"/>
        </w:pPr>
        <w:rPr>
          <w:rFonts w:hint="default"/>
        </w:rPr>
      </w:lvl>
    </w:lvlOverride>
    <w:lvlOverride w:ilvl="4">
      <w:lvl w:ilvl="4">
        <w:start w:val="1"/>
        <w:numFmt w:val="decimal"/>
        <w:lvlText w:val="(%5)"/>
        <w:lvlJc w:val="left"/>
        <w:pPr>
          <w:tabs>
            <w:tab w:val="num" w:pos="2880"/>
          </w:tabs>
          <w:ind w:left="2880" w:hanging="720"/>
        </w:pPr>
        <w:rPr>
          <w:rFonts w:hint="default"/>
        </w:rPr>
      </w:lvl>
    </w:lvlOverride>
    <w:lvlOverride w:ilvl="5">
      <w:lvl w:ilvl="5">
        <w:start w:val="1"/>
        <w:numFmt w:val="upperLetter"/>
        <w:lvlText w:val="(%6)"/>
        <w:lvlJc w:val="left"/>
        <w:pPr>
          <w:tabs>
            <w:tab w:val="num" w:pos="3600"/>
          </w:tabs>
          <w:ind w:left="3600" w:hanging="720"/>
        </w:pPr>
        <w:rPr>
          <w:rFonts w:ascii="Arial" w:hAnsi="Arial" w:hint="default"/>
          <w:b w:val="0"/>
          <w:i w:val="0"/>
          <w:sz w:val="22"/>
        </w:rPr>
      </w:lvl>
    </w:lvlOverride>
    <w:lvlOverride w:ilvl="6">
      <w:lvl w:ilvl="6">
        <w:start w:val="1"/>
        <w:numFmt w:val="upperRoman"/>
        <w:lvlText w:val="(%7)"/>
        <w:lvlJc w:val="left"/>
        <w:pPr>
          <w:tabs>
            <w:tab w:val="num" w:pos="4321"/>
          </w:tabs>
          <w:ind w:left="4321" w:hanging="721"/>
        </w:pPr>
        <w:rPr>
          <w:rFonts w:hint="default"/>
        </w:rPr>
      </w:lvl>
    </w:lvlOverride>
    <w:lvlOverride w:ilvl="7">
      <w:lvl w:ilvl="7">
        <w:start w:val="1"/>
        <w:numFmt w:val="decimalZero"/>
        <w:lvlText w:val="(%8)"/>
        <w:lvlJc w:val="left"/>
        <w:pPr>
          <w:tabs>
            <w:tab w:val="num" w:pos="5041"/>
          </w:tabs>
          <w:ind w:left="5041" w:hanging="720"/>
        </w:pPr>
        <w:rPr>
          <w:rFonts w:hint="default"/>
        </w:rPr>
      </w:lvl>
    </w:lvlOverride>
    <w:lvlOverride w:ilvl="8">
      <w:lvl w:ilvl="8">
        <w:start w:val="1"/>
        <w:numFmt w:val="ordinal"/>
        <w:lvlText w:val="%9"/>
        <w:lvlJc w:val="left"/>
        <w:pPr>
          <w:tabs>
            <w:tab w:val="num" w:pos="5761"/>
          </w:tabs>
          <w:ind w:left="5761" w:hanging="720"/>
        </w:pPr>
        <w:rPr>
          <w:rFonts w:ascii="Arial" w:hAnsi="Arial" w:hint="default"/>
          <w:b w:val="0"/>
          <w:i w:val="0"/>
          <w:sz w:val="22"/>
        </w:rPr>
      </w:lvl>
    </w:lvlOverride>
  </w:num>
  <w:num w:numId="18">
    <w:abstractNumId w:val="13"/>
    <w:lvlOverride w:ilvl="0">
      <w:startOverride w:val="1"/>
      <w:lvl w:ilvl="0">
        <w:start w:val="1"/>
        <w:numFmt w:val="decimal"/>
        <w:pStyle w:val="ScheduleText1"/>
        <w:lvlText w:val="%1"/>
        <w:lvlJc w:val="left"/>
        <w:pPr>
          <w:tabs>
            <w:tab w:val="num" w:pos="720"/>
          </w:tabs>
          <w:ind w:left="720" w:hanging="720"/>
        </w:pPr>
        <w:rPr>
          <w:rFonts w:ascii="Georgia" w:hAnsi="Georgia" w:hint="default"/>
          <w:b/>
          <w:i/>
          <w:sz w:val="22"/>
          <w:szCs w:val="32"/>
        </w:rPr>
      </w:lvl>
    </w:lvlOverride>
    <w:lvlOverride w:ilvl="1">
      <w:startOverride w:val="1"/>
      <w:lvl w:ilvl="1">
        <w:start w:val="1"/>
        <w:numFmt w:val="decimal"/>
        <w:pStyle w:val="ScheduleText2"/>
        <w:lvlText w:val="%1.%2"/>
        <w:lvlJc w:val="left"/>
        <w:pPr>
          <w:tabs>
            <w:tab w:val="num" w:pos="720"/>
          </w:tabs>
          <w:ind w:left="720" w:hanging="720"/>
        </w:pPr>
        <w:rPr>
          <w:rFonts w:hint="default"/>
        </w:rPr>
      </w:lvl>
    </w:lvlOverride>
    <w:lvlOverride w:ilvl="2">
      <w:startOverride w:val="1"/>
      <w:lvl w:ilvl="2">
        <w:start w:val="1"/>
        <w:numFmt w:val="lowerLetter"/>
        <w:lvlText w:val="(%3)"/>
        <w:lvlJc w:val="left"/>
        <w:pPr>
          <w:tabs>
            <w:tab w:val="num" w:pos="1440"/>
          </w:tabs>
          <w:ind w:left="1440" w:hanging="720"/>
        </w:pPr>
        <w:rPr>
          <w:rFonts w:ascii="Arial" w:hAnsi="Arial" w:hint="default"/>
          <w:b w:val="0"/>
          <w:i w:val="0"/>
          <w:sz w:val="22"/>
        </w:rPr>
      </w:lvl>
    </w:lvlOverride>
    <w:lvlOverride w:ilvl="3">
      <w:startOverride w:val="1"/>
      <w:lvl w:ilvl="3">
        <w:start w:val="1"/>
        <w:numFmt w:val="lowerRoman"/>
        <w:lvlText w:val="(%4)"/>
        <w:lvlJc w:val="left"/>
        <w:pPr>
          <w:tabs>
            <w:tab w:val="num" w:pos="2160"/>
          </w:tabs>
          <w:ind w:left="2160" w:hanging="720"/>
        </w:pPr>
        <w:rPr>
          <w:rFonts w:hint="default"/>
        </w:rPr>
      </w:lvl>
    </w:lvlOverride>
    <w:lvlOverride w:ilvl="4">
      <w:startOverride w:val="1"/>
      <w:lvl w:ilvl="4">
        <w:start w:val="1"/>
        <w:numFmt w:val="decimal"/>
        <w:lvlText w:val="(%5)"/>
        <w:lvlJc w:val="left"/>
        <w:pPr>
          <w:tabs>
            <w:tab w:val="num" w:pos="2880"/>
          </w:tabs>
          <w:ind w:left="2880" w:hanging="720"/>
        </w:pPr>
        <w:rPr>
          <w:rFonts w:hint="default"/>
        </w:rPr>
      </w:lvl>
    </w:lvlOverride>
    <w:lvlOverride w:ilvl="5">
      <w:startOverride w:val="1"/>
      <w:lvl w:ilvl="5">
        <w:start w:val="1"/>
        <w:numFmt w:val="upperLetter"/>
        <w:lvlText w:val="(%6)"/>
        <w:lvlJc w:val="left"/>
        <w:pPr>
          <w:tabs>
            <w:tab w:val="num" w:pos="3600"/>
          </w:tabs>
          <w:ind w:left="3600" w:hanging="720"/>
        </w:pPr>
        <w:rPr>
          <w:rFonts w:ascii="Arial" w:hAnsi="Arial" w:hint="default"/>
          <w:b w:val="0"/>
          <w:i w:val="0"/>
          <w:sz w:val="22"/>
        </w:rPr>
      </w:lvl>
    </w:lvlOverride>
    <w:lvlOverride w:ilvl="6">
      <w:startOverride w:val="1"/>
      <w:lvl w:ilvl="6">
        <w:start w:val="1"/>
        <w:numFmt w:val="upperRoman"/>
        <w:lvlText w:val="(%7)"/>
        <w:lvlJc w:val="left"/>
        <w:pPr>
          <w:tabs>
            <w:tab w:val="num" w:pos="4321"/>
          </w:tabs>
          <w:ind w:left="4321" w:hanging="721"/>
        </w:pPr>
        <w:rPr>
          <w:rFonts w:hint="default"/>
        </w:rPr>
      </w:lvl>
    </w:lvlOverride>
    <w:lvlOverride w:ilvl="7">
      <w:startOverride w:val="1"/>
      <w:lvl w:ilvl="7">
        <w:start w:val="1"/>
        <w:numFmt w:val="decimalZero"/>
        <w:lvlText w:val="(%8)"/>
        <w:lvlJc w:val="left"/>
        <w:pPr>
          <w:tabs>
            <w:tab w:val="num" w:pos="5041"/>
          </w:tabs>
          <w:ind w:left="5041" w:hanging="720"/>
        </w:pPr>
        <w:rPr>
          <w:rFonts w:hint="default"/>
        </w:rPr>
      </w:lvl>
    </w:lvlOverride>
    <w:lvlOverride w:ilvl="8">
      <w:startOverride w:val="1"/>
      <w:lvl w:ilvl="8">
        <w:start w:val="1"/>
        <w:numFmt w:val="ordinal"/>
        <w:lvlText w:val="%9"/>
        <w:lvlJc w:val="left"/>
        <w:pPr>
          <w:tabs>
            <w:tab w:val="num" w:pos="5761"/>
          </w:tabs>
          <w:ind w:left="5761" w:hanging="720"/>
        </w:pPr>
        <w:rPr>
          <w:rFonts w:ascii="Arial" w:hAnsi="Arial" w:hint="default"/>
          <w:b w:val="0"/>
          <w:i w:val="0"/>
          <w:sz w:val="22"/>
        </w:rPr>
      </w:lvl>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lvl w:ilvl="0">
        <w:start w:val="1"/>
        <w:numFmt w:val="decimal"/>
        <w:pStyle w:val="ScheduleText1"/>
        <w:lvlText w:val="%1."/>
        <w:lvlJc w:val="left"/>
        <w:pPr>
          <w:ind w:left="360" w:hanging="360"/>
        </w:pPr>
        <w:rPr>
          <w:rFonts w:ascii="Georgia" w:hAnsi="Georgia" w:hint="default"/>
        </w:rPr>
      </w:lvl>
    </w:lvlOverride>
    <w:lvlOverride w:ilvl="1">
      <w:lvl w:ilvl="1">
        <w:start w:val="1"/>
        <w:numFmt w:val="lowerLetter"/>
        <w:pStyle w:val="ScheduleText2"/>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2">
    <w:abstractNumId w:val="13"/>
    <w:lvlOverride w:ilvl="0">
      <w:startOverride w:val="1"/>
      <w:lvl w:ilvl="0">
        <w:start w:val="1"/>
        <w:numFmt w:val="decimal"/>
        <w:pStyle w:val="ScheduleText1"/>
        <w:lvlText w:val="%1"/>
        <w:lvlJc w:val="left"/>
        <w:pPr>
          <w:tabs>
            <w:tab w:val="num" w:pos="720"/>
          </w:tabs>
          <w:ind w:left="720" w:hanging="720"/>
        </w:pPr>
        <w:rPr>
          <w:rFonts w:ascii="Georgia" w:hAnsi="Georgia" w:hint="default"/>
          <w:b/>
          <w:i w:val="0"/>
          <w:sz w:val="22"/>
          <w:szCs w:val="32"/>
        </w:rPr>
      </w:lvl>
    </w:lvlOverride>
    <w:lvlOverride w:ilvl="1">
      <w:startOverride w:val="1"/>
      <w:lvl w:ilvl="1">
        <w:start w:val="1"/>
        <w:numFmt w:val="decimal"/>
        <w:pStyle w:val="ScheduleText2"/>
        <w:lvlText w:val="%1.%2"/>
        <w:lvlJc w:val="left"/>
        <w:pPr>
          <w:tabs>
            <w:tab w:val="num" w:pos="720"/>
          </w:tabs>
          <w:ind w:left="720" w:hanging="720"/>
        </w:pPr>
        <w:rPr>
          <w:rFonts w:hint="default"/>
        </w:rPr>
      </w:lvl>
    </w:lvlOverride>
    <w:lvlOverride w:ilvl="2">
      <w:startOverride w:val="1"/>
      <w:lvl w:ilvl="2">
        <w:start w:val="1"/>
        <w:numFmt w:val="lowerLetter"/>
        <w:lvlText w:val="(%3)"/>
        <w:lvlJc w:val="left"/>
        <w:pPr>
          <w:tabs>
            <w:tab w:val="num" w:pos="1440"/>
          </w:tabs>
          <w:ind w:left="1440" w:hanging="720"/>
        </w:pPr>
        <w:rPr>
          <w:rFonts w:ascii="Arial" w:hAnsi="Arial" w:hint="default"/>
          <w:b w:val="0"/>
          <w:i w:val="0"/>
          <w:sz w:val="22"/>
        </w:rPr>
      </w:lvl>
    </w:lvlOverride>
    <w:lvlOverride w:ilvl="3">
      <w:startOverride w:val="1"/>
      <w:lvl w:ilvl="3">
        <w:start w:val="1"/>
        <w:numFmt w:val="lowerRoman"/>
        <w:lvlText w:val="(%4)"/>
        <w:lvlJc w:val="left"/>
        <w:pPr>
          <w:tabs>
            <w:tab w:val="num" w:pos="2160"/>
          </w:tabs>
          <w:ind w:left="2160" w:hanging="720"/>
        </w:pPr>
        <w:rPr>
          <w:rFonts w:hint="default"/>
        </w:rPr>
      </w:lvl>
    </w:lvlOverride>
    <w:lvlOverride w:ilvl="4">
      <w:startOverride w:val="1"/>
      <w:lvl w:ilvl="4">
        <w:start w:val="1"/>
        <w:numFmt w:val="decimal"/>
        <w:lvlText w:val="(%5)"/>
        <w:lvlJc w:val="left"/>
        <w:pPr>
          <w:tabs>
            <w:tab w:val="num" w:pos="2880"/>
          </w:tabs>
          <w:ind w:left="2880" w:hanging="720"/>
        </w:pPr>
        <w:rPr>
          <w:rFonts w:hint="default"/>
        </w:rPr>
      </w:lvl>
    </w:lvlOverride>
    <w:lvlOverride w:ilvl="5">
      <w:startOverride w:val="1"/>
      <w:lvl w:ilvl="5">
        <w:start w:val="1"/>
        <w:numFmt w:val="upperLetter"/>
        <w:lvlText w:val="(%6)"/>
        <w:lvlJc w:val="left"/>
        <w:pPr>
          <w:tabs>
            <w:tab w:val="num" w:pos="3600"/>
          </w:tabs>
          <w:ind w:left="3600" w:hanging="720"/>
        </w:pPr>
        <w:rPr>
          <w:rFonts w:ascii="Arial" w:hAnsi="Arial" w:hint="default"/>
          <w:b w:val="0"/>
          <w:i w:val="0"/>
          <w:sz w:val="22"/>
        </w:rPr>
      </w:lvl>
    </w:lvlOverride>
    <w:lvlOverride w:ilvl="6">
      <w:startOverride w:val="1"/>
      <w:lvl w:ilvl="6">
        <w:start w:val="1"/>
        <w:numFmt w:val="upperRoman"/>
        <w:lvlText w:val="(%7)"/>
        <w:lvlJc w:val="left"/>
        <w:pPr>
          <w:tabs>
            <w:tab w:val="num" w:pos="4321"/>
          </w:tabs>
          <w:ind w:left="4321" w:hanging="721"/>
        </w:pPr>
        <w:rPr>
          <w:rFonts w:hint="default"/>
        </w:rPr>
      </w:lvl>
    </w:lvlOverride>
    <w:lvlOverride w:ilvl="7">
      <w:startOverride w:val="1"/>
      <w:lvl w:ilvl="7">
        <w:start w:val="1"/>
        <w:numFmt w:val="decimalZero"/>
        <w:lvlText w:val="(%8)"/>
        <w:lvlJc w:val="left"/>
        <w:pPr>
          <w:tabs>
            <w:tab w:val="num" w:pos="5041"/>
          </w:tabs>
          <w:ind w:left="5041" w:hanging="720"/>
        </w:pPr>
        <w:rPr>
          <w:rFonts w:hint="default"/>
        </w:rPr>
      </w:lvl>
    </w:lvlOverride>
    <w:lvlOverride w:ilvl="8">
      <w:startOverride w:val="1"/>
      <w:lvl w:ilvl="8">
        <w:start w:val="1"/>
        <w:numFmt w:val="ordinal"/>
        <w:lvlText w:val="%9"/>
        <w:lvlJc w:val="left"/>
        <w:pPr>
          <w:tabs>
            <w:tab w:val="num" w:pos="5761"/>
          </w:tabs>
          <w:ind w:left="5761" w:hanging="720"/>
        </w:pPr>
        <w:rPr>
          <w:rFonts w:ascii="Arial" w:hAnsi="Arial" w:hint="default"/>
          <w:b w:val="0"/>
          <w:i w:val="0"/>
          <w:sz w:val="22"/>
        </w:rPr>
      </w:lvl>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lvl w:ilvl="0">
        <w:start w:val="1"/>
        <w:numFmt w:val="decimal"/>
        <w:pStyle w:val="ScheduleText1"/>
        <w:lvlText w:val="%1"/>
        <w:lvlJc w:val="left"/>
        <w:pPr>
          <w:tabs>
            <w:tab w:val="num" w:pos="720"/>
          </w:tabs>
          <w:ind w:left="720" w:hanging="720"/>
        </w:pPr>
        <w:rPr>
          <w:rFonts w:ascii="Times New Roman" w:hAnsi="Times New Roman" w:cs="Times New Roman" w:hint="default"/>
          <w:b/>
          <w:i w:val="0"/>
          <w:sz w:val="22"/>
          <w:szCs w:val="22"/>
        </w:rPr>
      </w:lvl>
    </w:lvlOverride>
    <w:lvlOverride w:ilvl="1">
      <w:lvl w:ilvl="1">
        <w:start w:val="1"/>
        <w:numFmt w:val="decimal"/>
        <w:pStyle w:val="ScheduleText2"/>
        <w:lvlText w:val="%1.%2"/>
        <w:lvlJc w:val="left"/>
        <w:pPr>
          <w:tabs>
            <w:tab w:val="num" w:pos="720"/>
          </w:tabs>
          <w:ind w:left="720" w:hanging="720"/>
        </w:pPr>
        <w:rPr>
          <w:rFonts w:hint="default"/>
        </w:rPr>
      </w:lvl>
    </w:lvlOverride>
    <w:lvlOverride w:ilvl="2">
      <w:lvl w:ilvl="2">
        <w:start w:val="1"/>
        <w:numFmt w:val="lowerLetter"/>
        <w:lvlText w:val="(%3)"/>
        <w:lvlJc w:val="left"/>
        <w:pPr>
          <w:tabs>
            <w:tab w:val="num" w:pos="1440"/>
          </w:tabs>
          <w:ind w:left="1440" w:hanging="720"/>
        </w:pPr>
        <w:rPr>
          <w:rFonts w:ascii="Times New Roman" w:hAnsi="Times New Roman" w:cs="Times New Roman" w:hint="default"/>
          <w:b w:val="0"/>
          <w:i w:val="0"/>
          <w:sz w:val="22"/>
        </w:rPr>
      </w:lvl>
    </w:lvlOverride>
    <w:lvlOverride w:ilvl="3">
      <w:lvl w:ilvl="3">
        <w:start w:val="1"/>
        <w:numFmt w:val="lowerRoman"/>
        <w:lvlText w:val="(%4)"/>
        <w:lvlJc w:val="left"/>
        <w:pPr>
          <w:tabs>
            <w:tab w:val="num" w:pos="2160"/>
          </w:tabs>
          <w:ind w:left="2160" w:hanging="720"/>
        </w:pPr>
        <w:rPr>
          <w:rFonts w:hint="default"/>
        </w:rPr>
      </w:lvl>
    </w:lvlOverride>
    <w:lvlOverride w:ilvl="4">
      <w:lvl w:ilvl="4">
        <w:start w:val="1"/>
        <w:numFmt w:val="decimal"/>
        <w:lvlText w:val="(%5)"/>
        <w:lvlJc w:val="left"/>
        <w:pPr>
          <w:tabs>
            <w:tab w:val="num" w:pos="2880"/>
          </w:tabs>
          <w:ind w:left="2880" w:hanging="720"/>
        </w:pPr>
        <w:rPr>
          <w:rFonts w:hint="default"/>
        </w:rPr>
      </w:lvl>
    </w:lvlOverride>
    <w:lvlOverride w:ilvl="5">
      <w:lvl w:ilvl="5">
        <w:start w:val="1"/>
        <w:numFmt w:val="upperLetter"/>
        <w:lvlText w:val="(%6)"/>
        <w:lvlJc w:val="left"/>
        <w:pPr>
          <w:tabs>
            <w:tab w:val="num" w:pos="3600"/>
          </w:tabs>
          <w:ind w:left="3600" w:hanging="720"/>
        </w:pPr>
        <w:rPr>
          <w:rFonts w:ascii="Arial" w:hAnsi="Arial" w:hint="default"/>
          <w:b w:val="0"/>
          <w:i w:val="0"/>
          <w:sz w:val="22"/>
        </w:rPr>
      </w:lvl>
    </w:lvlOverride>
    <w:lvlOverride w:ilvl="6">
      <w:lvl w:ilvl="6">
        <w:start w:val="1"/>
        <w:numFmt w:val="upperRoman"/>
        <w:lvlText w:val="(%7)"/>
        <w:lvlJc w:val="left"/>
        <w:pPr>
          <w:tabs>
            <w:tab w:val="num" w:pos="4321"/>
          </w:tabs>
          <w:ind w:left="4321" w:hanging="721"/>
        </w:pPr>
        <w:rPr>
          <w:rFonts w:hint="default"/>
        </w:rPr>
      </w:lvl>
    </w:lvlOverride>
    <w:lvlOverride w:ilvl="7">
      <w:lvl w:ilvl="7">
        <w:start w:val="1"/>
        <w:numFmt w:val="decimalZero"/>
        <w:lvlText w:val="(%8)"/>
        <w:lvlJc w:val="left"/>
        <w:pPr>
          <w:tabs>
            <w:tab w:val="num" w:pos="5041"/>
          </w:tabs>
          <w:ind w:left="5041" w:hanging="720"/>
        </w:pPr>
        <w:rPr>
          <w:rFonts w:hint="default"/>
        </w:rPr>
      </w:lvl>
    </w:lvlOverride>
    <w:lvlOverride w:ilvl="8">
      <w:lvl w:ilvl="8">
        <w:start w:val="1"/>
        <w:numFmt w:val="ordinal"/>
        <w:lvlText w:val="%9"/>
        <w:lvlJc w:val="left"/>
        <w:pPr>
          <w:tabs>
            <w:tab w:val="num" w:pos="5761"/>
          </w:tabs>
          <w:ind w:left="5761" w:hanging="720"/>
        </w:pPr>
        <w:rPr>
          <w:rFonts w:ascii="Arial" w:hAnsi="Arial" w:hint="default"/>
          <w:b w:val="0"/>
          <w:i w:val="0"/>
          <w:sz w:val="22"/>
        </w:rPr>
      </w:lvl>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lvl w:ilvl="0">
        <w:start w:val="1"/>
        <w:numFmt w:val="decimal"/>
        <w:pStyle w:val="ScheduleText1"/>
        <w:lvlText w:val="%1"/>
        <w:lvlJc w:val="left"/>
        <w:pPr>
          <w:tabs>
            <w:tab w:val="num" w:pos="720"/>
          </w:tabs>
          <w:ind w:left="720" w:hanging="720"/>
        </w:pPr>
        <w:rPr>
          <w:rFonts w:ascii="Arial" w:hAnsi="Arial" w:cs="Times New Roman" w:hint="default"/>
          <w:b w:val="0"/>
          <w:bCs w:val="0"/>
          <w:i w:val="0"/>
          <w:iCs w:val="0"/>
          <w:caps w:val="0"/>
          <w:smallCaps w:val="0"/>
          <w:strike w:val="0"/>
          <w:dstrike w:val="0"/>
          <w:outline w:val="0"/>
          <w:shadow w:val="0"/>
          <w:emboss w:val="0"/>
          <w:imprint w:val="0"/>
          <w:noProof w:val="0"/>
          <w:vanish w:val="0"/>
          <w:webHidden w:val="0"/>
          <w:spacing w:val="0"/>
          <w:w w:val="1"/>
          <w:kern w:val="0"/>
          <w:position w:val="0"/>
          <w:sz w:val="22"/>
          <w:szCs w:val="32"/>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1">
      <w:lvl w:ilvl="1">
        <w:start w:val="1"/>
        <w:numFmt w:val="decimal"/>
        <w:pStyle w:val="ScheduleText2"/>
        <w:lvlText w:val="%1.%2"/>
        <w:lvlJc w:val="left"/>
        <w:pPr>
          <w:tabs>
            <w:tab w:val="num" w:pos="720"/>
          </w:tabs>
          <w:ind w:left="720" w:hanging="720"/>
        </w:pPr>
      </w:lvl>
    </w:lvlOverride>
    <w:lvlOverride w:ilvl="2">
      <w:lvl w:ilvl="2">
        <w:start w:val="1"/>
        <w:numFmt w:val="lowerLetter"/>
        <w:lvlText w:val="(%3)"/>
        <w:lvlJc w:val="left"/>
        <w:pPr>
          <w:tabs>
            <w:tab w:val="num" w:pos="1440"/>
          </w:tabs>
          <w:ind w:left="1440" w:hanging="720"/>
        </w:pPr>
        <w:rPr>
          <w:rFonts w:ascii="Georgia" w:hAnsi="Georgia" w:cs="Times New Roman" w:hint="default"/>
          <w:b w:val="0"/>
          <w:i w:val="0"/>
          <w:sz w:val="22"/>
        </w:rPr>
      </w:lvl>
    </w:lvlOverride>
    <w:lvlOverride w:ilvl="3">
      <w:lvl w:ilvl="3">
        <w:start w:val="1"/>
        <w:numFmt w:val="lowerRoman"/>
        <w:lvlText w:val="(%4)"/>
        <w:lvlJc w:val="left"/>
        <w:pPr>
          <w:tabs>
            <w:tab w:val="num" w:pos="2160"/>
          </w:tabs>
          <w:ind w:left="2160" w:hanging="720"/>
        </w:pPr>
      </w:lvl>
    </w:lvlOverride>
    <w:lvlOverride w:ilvl="4">
      <w:lvl w:ilvl="4">
        <w:start w:val="1"/>
        <w:numFmt w:val="decimal"/>
        <w:lvlText w:val="(%5)"/>
        <w:lvlJc w:val="left"/>
        <w:pPr>
          <w:tabs>
            <w:tab w:val="num" w:pos="2880"/>
          </w:tabs>
          <w:ind w:left="2880" w:hanging="720"/>
        </w:pPr>
      </w:lvl>
    </w:lvlOverride>
    <w:lvlOverride w:ilvl="5">
      <w:lvl w:ilvl="5">
        <w:start w:val="1"/>
        <w:numFmt w:val="upperLetter"/>
        <w:lvlText w:val="(%6)"/>
        <w:lvlJc w:val="left"/>
        <w:pPr>
          <w:tabs>
            <w:tab w:val="num" w:pos="3600"/>
          </w:tabs>
          <w:ind w:left="3600" w:hanging="720"/>
        </w:pPr>
        <w:rPr>
          <w:rFonts w:ascii="Arial" w:hAnsi="Arial" w:cs="Times New Roman" w:hint="default"/>
          <w:b w:val="0"/>
          <w:i w:val="0"/>
          <w:sz w:val="22"/>
        </w:rPr>
      </w:lvl>
    </w:lvlOverride>
    <w:lvlOverride w:ilvl="6">
      <w:lvl w:ilvl="6">
        <w:start w:val="1"/>
        <w:numFmt w:val="upperRoman"/>
        <w:lvlText w:val="(%7)"/>
        <w:lvlJc w:val="left"/>
        <w:pPr>
          <w:tabs>
            <w:tab w:val="num" w:pos="4321"/>
          </w:tabs>
          <w:ind w:left="4321" w:hanging="721"/>
        </w:pPr>
      </w:lvl>
    </w:lvlOverride>
    <w:lvlOverride w:ilvl="7">
      <w:lvl w:ilvl="7">
        <w:start w:val="1"/>
        <w:numFmt w:val="decimalZero"/>
        <w:lvlText w:val="(%8)"/>
        <w:lvlJc w:val="left"/>
        <w:pPr>
          <w:tabs>
            <w:tab w:val="num" w:pos="5041"/>
          </w:tabs>
          <w:ind w:left="5041" w:hanging="720"/>
        </w:pPr>
      </w:lvl>
    </w:lvlOverride>
    <w:lvlOverride w:ilvl="8">
      <w:lvl w:ilvl="8">
        <w:start w:val="1"/>
        <w:numFmt w:val="ordinal"/>
        <w:lvlText w:val="%9"/>
        <w:lvlJc w:val="left"/>
        <w:pPr>
          <w:tabs>
            <w:tab w:val="num" w:pos="5761"/>
          </w:tabs>
          <w:ind w:left="5761" w:hanging="720"/>
        </w:pPr>
        <w:rPr>
          <w:rFonts w:ascii="Arial" w:hAnsi="Arial" w:cs="Times New Roman" w:hint="default"/>
          <w:b w:val="0"/>
          <w:i w:val="0"/>
          <w:sz w:val="22"/>
        </w:rPr>
      </w:lvl>
    </w:lvlOverride>
  </w:num>
  <w:num w:numId="48">
    <w:abstractNumId w:val="10"/>
  </w:num>
  <w:num w:numId="49">
    <w:abstractNumId w:val="3"/>
  </w:num>
  <w:num w:numId="50">
    <w:abstractNumId w:val="13"/>
    <w:lvlOverride w:ilvl="0">
      <w:lvl w:ilvl="0">
        <w:start w:val="1"/>
        <w:numFmt w:val="decimal"/>
        <w:pStyle w:val="ScheduleText1"/>
        <w:lvlText w:val="%1."/>
        <w:lvlJc w:val="left"/>
        <w:pPr>
          <w:ind w:left="360" w:hanging="360"/>
        </w:pPr>
        <w:rPr>
          <w:rFonts w:ascii="Georgia" w:hAnsi="Georgia" w:hint="default"/>
        </w:rPr>
      </w:lvl>
    </w:lvlOverride>
    <w:lvlOverride w:ilvl="1">
      <w:lvl w:ilvl="1">
        <w:start w:val="1"/>
        <w:numFmt w:val="lowerLetter"/>
        <w:pStyle w:val="ScheduleText2"/>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formatting="1" w:enforcement="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CA"/>
    <w:rsid w:val="000748BF"/>
    <w:rsid w:val="005E4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01BC0"/>
  <w15:docId w15:val="{B3E7733E-DF44-42B6-AB04-980AF872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iPriority="99"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647D8"/>
    <w:pPr>
      <w:spacing w:line="280" w:lineRule="atLeast"/>
    </w:pPr>
    <w:rPr>
      <w:rFonts w:ascii="Arial" w:hAnsi="Arial"/>
      <w:sz w:val="22"/>
      <w:lang w:eastAsia="zh-TW"/>
    </w:rPr>
  </w:style>
  <w:style w:type="paragraph" w:styleId="Heading1">
    <w:name w:val="heading 1"/>
    <w:aliases w:val="Lev 1"/>
    <w:basedOn w:val="Normal"/>
    <w:next w:val="Normal"/>
    <w:link w:val="Heading1Char"/>
    <w:uiPriority w:val="9"/>
    <w:qFormat/>
    <w:rsid w:val="00051DC3"/>
    <w:pPr>
      <w:keepNext/>
      <w:spacing w:after="140" w:line="240" w:lineRule="auto"/>
      <w:outlineLvl w:val="0"/>
    </w:pPr>
    <w:rPr>
      <w:color w:val="C00000"/>
      <w:kern w:val="28"/>
      <w:sz w:val="36"/>
      <w:szCs w:val="36"/>
    </w:rPr>
  </w:style>
  <w:style w:type="paragraph" w:styleId="Heading2">
    <w:name w:val="heading 2"/>
    <w:aliases w:val="Lev 2"/>
    <w:basedOn w:val="Normal"/>
    <w:next w:val="Normal"/>
    <w:link w:val="Heading2Char"/>
    <w:uiPriority w:val="9"/>
    <w:qFormat/>
    <w:rsid w:val="00FC607D"/>
    <w:pPr>
      <w:keepNext/>
      <w:spacing w:after="140" w:line="240" w:lineRule="auto"/>
      <w:outlineLvl w:val="1"/>
    </w:pPr>
    <w:rPr>
      <w:color w:val="C00000"/>
      <w:sz w:val="32"/>
      <w:szCs w:val="32"/>
    </w:rPr>
  </w:style>
  <w:style w:type="paragraph" w:styleId="Heading3">
    <w:name w:val="heading 3"/>
    <w:aliases w:val="Lev 3"/>
    <w:basedOn w:val="Normal"/>
    <w:next w:val="Normal"/>
    <w:link w:val="Heading3Char"/>
    <w:uiPriority w:val="9"/>
    <w:qFormat/>
    <w:rsid w:val="00633C01"/>
    <w:pPr>
      <w:keepNext/>
      <w:spacing w:after="140" w:line="240" w:lineRule="auto"/>
      <w:jc w:val="center"/>
      <w:outlineLvl w:val="2"/>
    </w:pPr>
    <w:rPr>
      <w:b/>
      <w:w w:val="0"/>
      <w:szCs w:val="28"/>
    </w:rPr>
  </w:style>
  <w:style w:type="paragraph" w:styleId="Heading4">
    <w:name w:val="heading 4"/>
    <w:basedOn w:val="Normal"/>
    <w:next w:val="Normal"/>
    <w:link w:val="Heading4Char"/>
    <w:uiPriority w:val="9"/>
    <w:unhideWhenUsed/>
    <w:qFormat/>
    <w:rsid w:val="00FC607D"/>
    <w:pPr>
      <w:keepNext/>
      <w:keepLines/>
      <w:spacing w:after="240" w:line="280" w:lineRule="exact"/>
      <w:ind w:left="2268" w:hanging="862"/>
      <w:jc w:val="both"/>
      <w:outlineLvl w:val="3"/>
    </w:pPr>
    <w:rPr>
      <w:rFonts w:eastAsiaTheme="majorEastAsia" w:cs="Arial"/>
      <w:bCs/>
      <w:iCs/>
      <w:kern w:val="10"/>
      <w:lang w:eastAsia="en-US"/>
    </w:rPr>
  </w:style>
  <w:style w:type="paragraph" w:styleId="Heading5">
    <w:name w:val="heading 5"/>
    <w:basedOn w:val="Normal"/>
    <w:next w:val="Normal"/>
    <w:link w:val="Heading5Char"/>
    <w:uiPriority w:val="9"/>
    <w:semiHidden/>
    <w:unhideWhenUsed/>
    <w:qFormat/>
    <w:rsid w:val="00FC607D"/>
    <w:pPr>
      <w:keepNext/>
      <w:keepLines/>
      <w:spacing w:before="200" w:line="280" w:lineRule="exact"/>
      <w:ind w:left="1008" w:hanging="1008"/>
      <w:jc w:val="both"/>
      <w:outlineLvl w:val="4"/>
    </w:pPr>
    <w:rPr>
      <w:rFonts w:asciiTheme="majorHAnsi" w:eastAsiaTheme="majorEastAsia" w:hAnsiTheme="majorHAnsi" w:cstheme="majorBidi"/>
      <w:color w:val="243F60" w:themeColor="accent1" w:themeShade="7F"/>
      <w:kern w:val="10"/>
      <w:lang w:eastAsia="en-US"/>
    </w:rPr>
  </w:style>
  <w:style w:type="paragraph" w:styleId="Heading6">
    <w:name w:val="heading 6"/>
    <w:basedOn w:val="Normal"/>
    <w:next w:val="Normal"/>
    <w:link w:val="Heading6Char"/>
    <w:uiPriority w:val="9"/>
    <w:semiHidden/>
    <w:unhideWhenUsed/>
    <w:qFormat/>
    <w:rsid w:val="00FC607D"/>
    <w:pPr>
      <w:keepNext/>
      <w:keepLines/>
      <w:spacing w:before="200" w:line="280" w:lineRule="exact"/>
      <w:ind w:left="1152" w:hanging="1152"/>
      <w:jc w:val="both"/>
      <w:outlineLvl w:val="5"/>
    </w:pPr>
    <w:rPr>
      <w:rFonts w:asciiTheme="majorHAnsi" w:eastAsiaTheme="majorEastAsia" w:hAnsiTheme="majorHAnsi" w:cstheme="majorBidi"/>
      <w:i/>
      <w:iCs/>
      <w:color w:val="243F60" w:themeColor="accent1" w:themeShade="7F"/>
      <w:kern w:val="10"/>
      <w:lang w:eastAsia="en-US"/>
    </w:rPr>
  </w:style>
  <w:style w:type="paragraph" w:styleId="Heading7">
    <w:name w:val="heading 7"/>
    <w:basedOn w:val="Normal"/>
    <w:next w:val="Normal"/>
    <w:link w:val="Heading7Char"/>
    <w:uiPriority w:val="9"/>
    <w:semiHidden/>
    <w:unhideWhenUsed/>
    <w:qFormat/>
    <w:rsid w:val="00FC607D"/>
    <w:pPr>
      <w:keepNext/>
      <w:keepLines/>
      <w:spacing w:before="200" w:line="280" w:lineRule="exact"/>
      <w:ind w:left="1296" w:hanging="1296"/>
      <w:jc w:val="both"/>
      <w:outlineLvl w:val="6"/>
    </w:pPr>
    <w:rPr>
      <w:rFonts w:asciiTheme="majorHAnsi" w:eastAsiaTheme="majorEastAsia" w:hAnsiTheme="majorHAnsi" w:cstheme="majorBidi"/>
      <w:i/>
      <w:iCs/>
      <w:color w:val="404040" w:themeColor="text1" w:themeTint="BF"/>
      <w:kern w:val="10"/>
      <w:lang w:eastAsia="en-US"/>
    </w:rPr>
  </w:style>
  <w:style w:type="paragraph" w:styleId="Heading8">
    <w:name w:val="heading 8"/>
    <w:basedOn w:val="Normal"/>
    <w:next w:val="Normal"/>
    <w:link w:val="Heading8Char"/>
    <w:uiPriority w:val="9"/>
    <w:semiHidden/>
    <w:unhideWhenUsed/>
    <w:qFormat/>
    <w:rsid w:val="00FC607D"/>
    <w:pPr>
      <w:keepNext/>
      <w:keepLines/>
      <w:spacing w:before="200" w:line="280" w:lineRule="exact"/>
      <w:ind w:left="1440" w:hanging="1440"/>
      <w:jc w:val="both"/>
      <w:outlineLvl w:val="7"/>
    </w:pPr>
    <w:rPr>
      <w:rFonts w:asciiTheme="majorHAnsi" w:eastAsiaTheme="majorEastAsia" w:hAnsiTheme="majorHAnsi" w:cstheme="majorBidi"/>
      <w:color w:val="404040" w:themeColor="text1" w:themeTint="BF"/>
      <w:kern w:val="10"/>
      <w:sz w:val="20"/>
      <w:lang w:eastAsia="en-US"/>
    </w:rPr>
  </w:style>
  <w:style w:type="paragraph" w:styleId="Heading9">
    <w:name w:val="heading 9"/>
    <w:basedOn w:val="Normal"/>
    <w:next w:val="Normal"/>
    <w:link w:val="Heading9Char"/>
    <w:uiPriority w:val="9"/>
    <w:semiHidden/>
    <w:unhideWhenUsed/>
    <w:qFormat/>
    <w:rsid w:val="00FC607D"/>
    <w:pPr>
      <w:keepNext/>
      <w:keepLines/>
      <w:spacing w:before="200" w:line="280" w:lineRule="exact"/>
      <w:ind w:left="1584" w:hanging="1584"/>
      <w:jc w:val="both"/>
      <w:outlineLvl w:val="8"/>
    </w:pPr>
    <w:rPr>
      <w:rFonts w:asciiTheme="majorHAnsi" w:eastAsiaTheme="majorEastAsia" w:hAnsiTheme="majorHAnsi" w:cstheme="majorBidi"/>
      <w:i/>
      <w:iCs/>
      <w:color w:val="404040" w:themeColor="text1" w:themeTint="BF"/>
      <w:kern w:val="10"/>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D37CC4"/>
    <w:pPr>
      <w:spacing w:line="240" w:lineRule="exact"/>
    </w:pPr>
    <w:rPr>
      <w:sz w:val="18"/>
      <w:szCs w:val="18"/>
    </w:rPr>
  </w:style>
  <w:style w:type="paragraph" w:styleId="Footer">
    <w:name w:val="footer"/>
    <w:basedOn w:val="Normal"/>
    <w:link w:val="FooterChar"/>
    <w:uiPriority w:val="99"/>
    <w:rsid w:val="00D37CC4"/>
    <w:pPr>
      <w:tabs>
        <w:tab w:val="center" w:pos="4500"/>
        <w:tab w:val="right" w:pos="9000"/>
      </w:tabs>
      <w:spacing w:line="240" w:lineRule="exact"/>
    </w:pPr>
    <w:rPr>
      <w:sz w:val="18"/>
    </w:rPr>
  </w:style>
  <w:style w:type="paragraph" w:styleId="Header">
    <w:name w:val="header"/>
    <w:basedOn w:val="Normal"/>
    <w:link w:val="HeaderChar"/>
    <w:uiPriority w:val="99"/>
    <w:rsid w:val="00D37CC4"/>
    <w:pPr>
      <w:tabs>
        <w:tab w:val="center" w:pos="4500"/>
        <w:tab w:val="right" w:pos="9000"/>
      </w:tabs>
      <w:spacing w:line="240" w:lineRule="exact"/>
    </w:pPr>
    <w:rPr>
      <w:sz w:val="18"/>
    </w:rPr>
  </w:style>
  <w:style w:type="paragraph" w:styleId="List">
    <w:name w:val="List"/>
    <w:basedOn w:val="Normal"/>
    <w:rsid w:val="006879C5"/>
    <w:pPr>
      <w:numPr>
        <w:numId w:val="1"/>
      </w:numPr>
      <w:spacing w:after="140"/>
      <w:jc w:val="both"/>
    </w:pPr>
    <w:rPr>
      <w:szCs w:val="22"/>
    </w:rPr>
  </w:style>
  <w:style w:type="paragraph" w:styleId="ListBullet">
    <w:name w:val="List Bullet"/>
    <w:basedOn w:val="Normal"/>
    <w:rsid w:val="00CA6C2D"/>
    <w:pPr>
      <w:numPr>
        <w:numId w:val="2"/>
      </w:numPr>
      <w:spacing w:after="140"/>
    </w:pPr>
    <w:rPr>
      <w:color w:val="333399"/>
      <w:szCs w:val="22"/>
    </w:rPr>
  </w:style>
  <w:style w:type="character" w:styleId="PageNumber">
    <w:name w:val="page number"/>
    <w:rsid w:val="00D37CC4"/>
    <w:rPr>
      <w:dstrike w:val="0"/>
      <w:sz w:val="18"/>
      <w:vertAlign w:val="baseline"/>
    </w:rPr>
  </w:style>
  <w:style w:type="paragraph" w:customStyle="1" w:styleId="SmallFont">
    <w:name w:val="Small Font"/>
    <w:basedOn w:val="Normal"/>
    <w:rsid w:val="00D37CC4"/>
    <w:pPr>
      <w:spacing w:line="240" w:lineRule="exact"/>
    </w:pPr>
    <w:rPr>
      <w:sz w:val="18"/>
    </w:rPr>
  </w:style>
  <w:style w:type="character" w:styleId="Strong">
    <w:name w:val="Strong"/>
    <w:qFormat/>
    <w:rsid w:val="00D37CC4"/>
    <w:rPr>
      <w:b/>
    </w:rPr>
  </w:style>
  <w:style w:type="paragraph" w:styleId="Title">
    <w:name w:val="Title"/>
    <w:basedOn w:val="Normal"/>
    <w:qFormat/>
    <w:rsid w:val="00D37CC4"/>
    <w:pPr>
      <w:spacing w:after="140" w:line="240" w:lineRule="auto"/>
    </w:pPr>
    <w:rPr>
      <w:kern w:val="28"/>
      <w:sz w:val="48"/>
    </w:rPr>
  </w:style>
  <w:style w:type="paragraph" w:styleId="TOC1">
    <w:name w:val="toc 1"/>
    <w:basedOn w:val="Normal"/>
    <w:next w:val="Normal"/>
    <w:autoRedefine/>
    <w:uiPriority w:val="39"/>
    <w:qFormat/>
    <w:rsid w:val="000C3B70"/>
    <w:pPr>
      <w:tabs>
        <w:tab w:val="right" w:pos="9072"/>
      </w:tabs>
      <w:spacing w:before="120"/>
    </w:pPr>
    <w:rPr>
      <w:rFonts w:ascii="Georgia" w:hAnsi="Georgia"/>
      <w:noProof/>
      <w:sz w:val="24"/>
      <w:szCs w:val="28"/>
    </w:rPr>
  </w:style>
  <w:style w:type="paragraph" w:styleId="TOC2">
    <w:name w:val="toc 2"/>
    <w:basedOn w:val="Normal"/>
    <w:next w:val="Normal"/>
    <w:autoRedefine/>
    <w:uiPriority w:val="39"/>
    <w:qFormat/>
    <w:rsid w:val="00330E22"/>
    <w:pPr>
      <w:tabs>
        <w:tab w:val="right" w:pos="9072"/>
      </w:tabs>
    </w:pPr>
    <w:rPr>
      <w:rFonts w:ascii="Georgia" w:hAnsi="Georgia"/>
      <w:noProof/>
    </w:rPr>
  </w:style>
  <w:style w:type="paragraph" w:styleId="TOC3">
    <w:name w:val="toc 3"/>
    <w:basedOn w:val="Normal"/>
    <w:next w:val="Normal"/>
    <w:autoRedefine/>
    <w:uiPriority w:val="39"/>
    <w:qFormat/>
    <w:rsid w:val="00B0696D"/>
    <w:pPr>
      <w:tabs>
        <w:tab w:val="right" w:pos="9072"/>
      </w:tabs>
      <w:ind w:left="440"/>
    </w:pPr>
    <w:rPr>
      <w:noProof/>
      <w:sz w:val="18"/>
    </w:rPr>
  </w:style>
  <w:style w:type="paragraph" w:customStyle="1" w:styleId="Tick">
    <w:name w:val="Tick"/>
    <w:basedOn w:val="Normal"/>
    <w:rsid w:val="00C15834"/>
    <w:rPr>
      <w:color w:val="00FF00"/>
      <w:sz w:val="32"/>
    </w:rPr>
  </w:style>
  <w:style w:type="paragraph" w:customStyle="1" w:styleId="Cross">
    <w:name w:val="Cross"/>
    <w:basedOn w:val="Normal"/>
    <w:rsid w:val="00C15834"/>
    <w:rPr>
      <w:color w:val="FF0000"/>
      <w:sz w:val="28"/>
    </w:rPr>
  </w:style>
  <w:style w:type="numbering" w:customStyle="1" w:styleId="StyleNumbered">
    <w:name w:val="Style Numbered"/>
    <w:basedOn w:val="NoList"/>
    <w:rsid w:val="00421DCB"/>
    <w:pPr>
      <w:numPr>
        <w:numId w:val="3"/>
      </w:numPr>
    </w:pPr>
  </w:style>
  <w:style w:type="paragraph" w:customStyle="1" w:styleId="Clausetext2">
    <w:name w:val="Clause text 2"/>
    <w:basedOn w:val="Normal"/>
    <w:link w:val="Clausetext2Char"/>
    <w:rsid w:val="0011015D"/>
    <w:pPr>
      <w:spacing w:after="240" w:line="280" w:lineRule="exact"/>
      <w:ind w:left="720"/>
      <w:jc w:val="both"/>
    </w:pPr>
    <w:rPr>
      <w:rFonts w:ascii="Georgia" w:eastAsia="MS Mincho" w:hAnsi="Georgia"/>
      <w:lang w:eastAsia="en-GB"/>
    </w:rPr>
  </w:style>
  <w:style w:type="paragraph" w:customStyle="1" w:styleId="draftingnote">
    <w:name w:val="drafting note"/>
    <w:basedOn w:val="Normal"/>
    <w:next w:val="Heading1"/>
    <w:link w:val="draftingnoteChar"/>
    <w:rsid w:val="0011015D"/>
    <w:pPr>
      <w:keepNext/>
      <w:spacing w:line="220" w:lineRule="exact"/>
      <w:jc w:val="both"/>
    </w:pPr>
    <w:rPr>
      <w:rFonts w:ascii="Georgia" w:eastAsia="MS Mincho" w:hAnsi="Georgia"/>
      <w:b/>
      <w:i/>
      <w:color w:val="C00000"/>
      <w:sz w:val="18"/>
      <w:szCs w:val="18"/>
      <w:lang w:eastAsia="en-GB"/>
    </w:rPr>
  </w:style>
  <w:style w:type="paragraph" w:customStyle="1" w:styleId="Clausetext1">
    <w:name w:val="Clause text 1"/>
    <w:basedOn w:val="Normal"/>
    <w:rsid w:val="0011015D"/>
    <w:pPr>
      <w:spacing w:after="240" w:line="280" w:lineRule="exact"/>
      <w:jc w:val="both"/>
    </w:pPr>
    <w:rPr>
      <w:rFonts w:ascii="Georgia" w:eastAsia="MS Mincho" w:hAnsi="Georgia"/>
      <w:w w:val="0"/>
      <w:lang w:eastAsia="en-GB"/>
    </w:rPr>
  </w:style>
  <w:style w:type="character" w:customStyle="1" w:styleId="Definitions">
    <w:name w:val="Definitions"/>
    <w:rsid w:val="001647D8"/>
    <w:rPr>
      <w:rFonts w:ascii="Arial" w:hAnsi="Arial"/>
      <w:b/>
      <w:sz w:val="22"/>
    </w:rPr>
  </w:style>
  <w:style w:type="paragraph" w:customStyle="1" w:styleId="Definitionsnumbered">
    <w:name w:val="Definitions numbered"/>
    <w:basedOn w:val="Normal"/>
    <w:rsid w:val="001647D8"/>
    <w:pPr>
      <w:numPr>
        <w:numId w:val="4"/>
      </w:numPr>
      <w:spacing w:after="240" w:line="280" w:lineRule="exact"/>
    </w:pPr>
    <w:rPr>
      <w:rFonts w:eastAsia="MS Mincho"/>
      <w:lang w:eastAsia="en-GB"/>
    </w:rPr>
  </w:style>
  <w:style w:type="character" w:customStyle="1" w:styleId="ScheduleText2Char">
    <w:name w:val="Schedule Text 2 Char"/>
    <w:link w:val="ScheduleText2"/>
    <w:rsid w:val="0011015D"/>
    <w:rPr>
      <w:rFonts w:ascii="Georgia" w:eastAsia="Times New Roman" w:hAnsi="Georgia"/>
      <w:sz w:val="22"/>
      <w:lang w:eastAsia="zh-TW"/>
    </w:rPr>
  </w:style>
  <w:style w:type="paragraph" w:styleId="Caption">
    <w:name w:val="caption"/>
    <w:basedOn w:val="Normal"/>
    <w:next w:val="Normal"/>
    <w:qFormat/>
    <w:rsid w:val="00750667"/>
    <w:pPr>
      <w:spacing w:line="280" w:lineRule="exact"/>
      <w:jc w:val="center"/>
      <w:outlineLvl w:val="0"/>
    </w:pPr>
    <w:rPr>
      <w:rFonts w:eastAsia="Times New Roman"/>
      <w:b/>
      <w:caps/>
    </w:rPr>
  </w:style>
  <w:style w:type="paragraph" w:customStyle="1" w:styleId="ScheduleText1">
    <w:name w:val="Schedule Text 1"/>
    <w:basedOn w:val="Normal"/>
    <w:next w:val="Normal"/>
    <w:uiPriority w:val="99"/>
    <w:rsid w:val="00524BD5"/>
    <w:pPr>
      <w:keepNext/>
      <w:numPr>
        <w:numId w:val="41"/>
      </w:numPr>
      <w:tabs>
        <w:tab w:val="left" w:pos="709"/>
      </w:tabs>
      <w:spacing w:after="240" w:line="360" w:lineRule="exact"/>
      <w:ind w:left="709" w:hanging="709"/>
    </w:pPr>
    <w:rPr>
      <w:rFonts w:ascii="Georgia" w:eastAsia="Times New Roman" w:hAnsi="Georgia"/>
      <w:b/>
      <w:szCs w:val="32"/>
    </w:rPr>
  </w:style>
  <w:style w:type="paragraph" w:customStyle="1" w:styleId="ScheduleText2">
    <w:name w:val="Schedule Text 2"/>
    <w:basedOn w:val="Normal"/>
    <w:link w:val="ScheduleText2Char"/>
    <w:rsid w:val="0011015D"/>
    <w:pPr>
      <w:numPr>
        <w:ilvl w:val="1"/>
        <w:numId w:val="17"/>
      </w:numPr>
      <w:spacing w:after="240" w:line="280" w:lineRule="exact"/>
      <w:jc w:val="both"/>
    </w:pPr>
    <w:rPr>
      <w:rFonts w:ascii="Georgia" w:eastAsia="Times New Roman" w:hAnsi="Georgia"/>
    </w:rPr>
  </w:style>
  <w:style w:type="paragraph" w:customStyle="1" w:styleId="ScheduleText3">
    <w:name w:val="Schedule Text 3"/>
    <w:basedOn w:val="ScheduleText2"/>
    <w:link w:val="ScheduleText3Char"/>
    <w:rsid w:val="00F82629"/>
    <w:pPr>
      <w:numPr>
        <w:ilvl w:val="2"/>
        <w:numId w:val="6"/>
      </w:numPr>
    </w:pPr>
  </w:style>
  <w:style w:type="paragraph" w:customStyle="1" w:styleId="ScheduleText4">
    <w:name w:val="Schedule Text 4"/>
    <w:basedOn w:val="ScheduleText3"/>
    <w:rsid w:val="005B1FD8"/>
    <w:pPr>
      <w:numPr>
        <w:ilvl w:val="3"/>
      </w:numPr>
    </w:pPr>
  </w:style>
  <w:style w:type="paragraph" w:customStyle="1" w:styleId="Scheduletitle">
    <w:name w:val="Schedule title"/>
    <w:basedOn w:val="Normal"/>
    <w:next w:val="Normal"/>
    <w:rsid w:val="00750667"/>
    <w:pPr>
      <w:keepNext/>
      <w:numPr>
        <w:numId w:val="5"/>
      </w:numPr>
      <w:spacing w:after="240" w:line="280" w:lineRule="exact"/>
      <w:jc w:val="center"/>
      <w:outlineLvl w:val="0"/>
    </w:pPr>
    <w:rPr>
      <w:rFonts w:eastAsia="Times New Roman"/>
      <w:b/>
    </w:rPr>
  </w:style>
  <w:style w:type="paragraph" w:customStyle="1" w:styleId="Clausetext3">
    <w:name w:val="Clause text 3"/>
    <w:basedOn w:val="Clausetext2"/>
    <w:rsid w:val="00FA00DD"/>
    <w:pPr>
      <w:ind w:left="1440"/>
    </w:pPr>
  </w:style>
  <w:style w:type="paragraph" w:styleId="BalloonText">
    <w:name w:val="Balloon Text"/>
    <w:basedOn w:val="Normal"/>
    <w:link w:val="BalloonTextChar"/>
    <w:uiPriority w:val="99"/>
    <w:semiHidden/>
    <w:rsid w:val="00437D86"/>
    <w:rPr>
      <w:rFonts w:ascii="Tahoma" w:hAnsi="Tahoma" w:cs="Tahoma"/>
      <w:sz w:val="16"/>
      <w:szCs w:val="16"/>
    </w:rPr>
  </w:style>
  <w:style w:type="character" w:customStyle="1" w:styleId="draftingnoteChar">
    <w:name w:val="drafting note Char"/>
    <w:link w:val="draftingnote"/>
    <w:rsid w:val="0011015D"/>
    <w:rPr>
      <w:rFonts w:ascii="Georgia" w:eastAsia="MS Mincho" w:hAnsi="Georgia"/>
      <w:b/>
      <w:i/>
      <w:color w:val="C00000"/>
      <w:sz w:val="18"/>
      <w:szCs w:val="18"/>
    </w:rPr>
  </w:style>
  <w:style w:type="character" w:styleId="Hyperlink">
    <w:name w:val="Hyperlink"/>
    <w:uiPriority w:val="99"/>
    <w:rsid w:val="007E328F"/>
    <w:rPr>
      <w:rFonts w:ascii="Georgia" w:hAnsi="Georgia"/>
      <w:color w:val="0000FF"/>
      <w:u w:val="single"/>
    </w:rPr>
  </w:style>
  <w:style w:type="character" w:styleId="FollowedHyperlink">
    <w:name w:val="FollowedHyperlink"/>
    <w:rsid w:val="007C490F"/>
    <w:rPr>
      <w:color w:val="800080"/>
      <w:u w:val="single"/>
    </w:rPr>
  </w:style>
  <w:style w:type="paragraph" w:customStyle="1" w:styleId="Subtitle2">
    <w:name w:val="Subtitle 2"/>
    <w:basedOn w:val="Normal"/>
    <w:next w:val="Heading2"/>
    <w:rsid w:val="004A1FD2"/>
    <w:pPr>
      <w:keepNext/>
      <w:spacing w:after="240" w:line="280" w:lineRule="exact"/>
      <w:ind w:left="720"/>
    </w:pPr>
    <w:rPr>
      <w:rFonts w:eastAsia="Times New Roman"/>
      <w:sz w:val="28"/>
    </w:rPr>
  </w:style>
  <w:style w:type="character" w:customStyle="1" w:styleId="ScheduleText3Char">
    <w:name w:val="Schedule Text 3 Char"/>
    <w:basedOn w:val="ScheduleText2Char"/>
    <w:link w:val="ScheduleText3"/>
    <w:rsid w:val="00F82629"/>
    <w:rPr>
      <w:rFonts w:ascii="Georgia" w:eastAsia="Times New Roman" w:hAnsi="Georgia"/>
      <w:sz w:val="22"/>
      <w:lang w:eastAsia="zh-TW"/>
    </w:rPr>
  </w:style>
  <w:style w:type="paragraph" w:customStyle="1" w:styleId="Notes">
    <w:name w:val="Notes"/>
    <w:basedOn w:val="Normal"/>
    <w:link w:val="NotesChar"/>
    <w:rsid w:val="00CA6C2D"/>
    <w:pPr>
      <w:spacing w:after="240"/>
    </w:pPr>
    <w:rPr>
      <w:color w:val="333399"/>
      <w:szCs w:val="22"/>
    </w:rPr>
  </w:style>
  <w:style w:type="character" w:customStyle="1" w:styleId="NotesChar">
    <w:name w:val="Notes Char"/>
    <w:link w:val="Notes"/>
    <w:rsid w:val="00CA6C2D"/>
    <w:rPr>
      <w:rFonts w:ascii="Arial" w:eastAsia="PMingLiU" w:hAnsi="Arial"/>
      <w:color w:val="333399"/>
      <w:sz w:val="22"/>
      <w:szCs w:val="22"/>
      <w:lang w:val="en-GB" w:eastAsia="zh-TW" w:bidi="ar-SA"/>
    </w:rPr>
  </w:style>
  <w:style w:type="paragraph" w:customStyle="1" w:styleId="Schedulenumber">
    <w:name w:val="Schedule number"/>
    <w:basedOn w:val="Heading1"/>
    <w:next w:val="Normal"/>
    <w:rsid w:val="008E1733"/>
    <w:pPr>
      <w:tabs>
        <w:tab w:val="left" w:pos="720"/>
      </w:tabs>
      <w:spacing w:before="60" w:after="240" w:line="280" w:lineRule="exact"/>
      <w:outlineLvl w:val="9"/>
    </w:pPr>
    <w:rPr>
      <w:rFonts w:eastAsia="MS Mincho"/>
      <w:color w:val="auto"/>
      <w:kern w:val="0"/>
      <w:szCs w:val="32"/>
      <w:lang w:eastAsia="en-GB"/>
    </w:rPr>
  </w:style>
  <w:style w:type="paragraph" w:customStyle="1" w:styleId="Note">
    <w:name w:val="Note"/>
    <w:basedOn w:val="Normal"/>
    <w:rsid w:val="008E1733"/>
    <w:pPr>
      <w:spacing w:line="220" w:lineRule="atLeast"/>
    </w:pPr>
    <w:rPr>
      <w:color w:val="0000FF"/>
      <w:sz w:val="18"/>
      <w:lang w:eastAsia="zh-SG"/>
    </w:rPr>
  </w:style>
  <w:style w:type="paragraph" w:customStyle="1" w:styleId="Clausetext4">
    <w:name w:val="Clause text 4"/>
    <w:basedOn w:val="Clausetext1"/>
    <w:rsid w:val="00437065"/>
    <w:pPr>
      <w:ind w:left="2280"/>
    </w:pPr>
  </w:style>
  <w:style w:type="character" w:styleId="EndnoteReference">
    <w:name w:val="endnote reference"/>
    <w:unhideWhenUsed/>
    <w:rsid w:val="00507614"/>
    <w:rPr>
      <w:vertAlign w:val="superscript"/>
    </w:rPr>
  </w:style>
  <w:style w:type="character" w:customStyle="1" w:styleId="Heading4Char">
    <w:name w:val="Heading 4 Char"/>
    <w:basedOn w:val="DefaultParagraphFont"/>
    <w:link w:val="Heading4"/>
    <w:uiPriority w:val="9"/>
    <w:rsid w:val="00FC607D"/>
    <w:rPr>
      <w:rFonts w:ascii="Arial" w:eastAsiaTheme="majorEastAsia" w:hAnsi="Arial" w:cs="Arial"/>
      <w:bCs/>
      <w:iCs/>
      <w:kern w:val="10"/>
      <w:sz w:val="22"/>
      <w:lang w:eastAsia="en-US"/>
    </w:rPr>
  </w:style>
  <w:style w:type="character" w:customStyle="1" w:styleId="Heading5Char">
    <w:name w:val="Heading 5 Char"/>
    <w:basedOn w:val="DefaultParagraphFont"/>
    <w:link w:val="Heading5"/>
    <w:uiPriority w:val="9"/>
    <w:semiHidden/>
    <w:rsid w:val="00FC607D"/>
    <w:rPr>
      <w:rFonts w:asciiTheme="majorHAnsi" w:eastAsiaTheme="majorEastAsia" w:hAnsiTheme="majorHAnsi" w:cstheme="majorBidi"/>
      <w:color w:val="243F60" w:themeColor="accent1" w:themeShade="7F"/>
      <w:kern w:val="10"/>
      <w:sz w:val="22"/>
      <w:lang w:eastAsia="en-US"/>
    </w:rPr>
  </w:style>
  <w:style w:type="character" w:customStyle="1" w:styleId="Heading6Char">
    <w:name w:val="Heading 6 Char"/>
    <w:basedOn w:val="DefaultParagraphFont"/>
    <w:link w:val="Heading6"/>
    <w:uiPriority w:val="9"/>
    <w:semiHidden/>
    <w:rsid w:val="00FC607D"/>
    <w:rPr>
      <w:rFonts w:asciiTheme="majorHAnsi" w:eastAsiaTheme="majorEastAsia" w:hAnsiTheme="majorHAnsi" w:cstheme="majorBidi"/>
      <w:i/>
      <w:iCs/>
      <w:color w:val="243F60" w:themeColor="accent1" w:themeShade="7F"/>
      <w:kern w:val="10"/>
      <w:sz w:val="22"/>
      <w:lang w:eastAsia="en-US"/>
    </w:rPr>
  </w:style>
  <w:style w:type="character" w:customStyle="1" w:styleId="Heading7Char">
    <w:name w:val="Heading 7 Char"/>
    <w:basedOn w:val="DefaultParagraphFont"/>
    <w:link w:val="Heading7"/>
    <w:uiPriority w:val="9"/>
    <w:semiHidden/>
    <w:rsid w:val="00FC607D"/>
    <w:rPr>
      <w:rFonts w:asciiTheme="majorHAnsi" w:eastAsiaTheme="majorEastAsia" w:hAnsiTheme="majorHAnsi" w:cstheme="majorBidi"/>
      <w:i/>
      <w:iCs/>
      <w:color w:val="404040" w:themeColor="text1" w:themeTint="BF"/>
      <w:kern w:val="10"/>
      <w:sz w:val="22"/>
      <w:lang w:eastAsia="en-US"/>
    </w:rPr>
  </w:style>
  <w:style w:type="character" w:customStyle="1" w:styleId="Heading8Char">
    <w:name w:val="Heading 8 Char"/>
    <w:basedOn w:val="DefaultParagraphFont"/>
    <w:link w:val="Heading8"/>
    <w:uiPriority w:val="9"/>
    <w:semiHidden/>
    <w:rsid w:val="00FC607D"/>
    <w:rPr>
      <w:rFonts w:asciiTheme="majorHAnsi" w:eastAsiaTheme="majorEastAsia" w:hAnsiTheme="majorHAnsi" w:cstheme="majorBidi"/>
      <w:color w:val="404040" w:themeColor="text1" w:themeTint="BF"/>
      <w:kern w:val="10"/>
      <w:lang w:eastAsia="en-US"/>
    </w:rPr>
  </w:style>
  <w:style w:type="character" w:customStyle="1" w:styleId="Heading9Char">
    <w:name w:val="Heading 9 Char"/>
    <w:basedOn w:val="DefaultParagraphFont"/>
    <w:link w:val="Heading9"/>
    <w:uiPriority w:val="9"/>
    <w:semiHidden/>
    <w:rsid w:val="00FC607D"/>
    <w:rPr>
      <w:rFonts w:asciiTheme="majorHAnsi" w:eastAsiaTheme="majorEastAsia" w:hAnsiTheme="majorHAnsi" w:cstheme="majorBidi"/>
      <w:i/>
      <w:iCs/>
      <w:color w:val="404040" w:themeColor="text1" w:themeTint="BF"/>
      <w:kern w:val="10"/>
      <w:lang w:eastAsia="en-US"/>
    </w:rPr>
  </w:style>
  <w:style w:type="paragraph" w:styleId="BodyText">
    <w:name w:val="Body Text"/>
    <w:basedOn w:val="Normal"/>
    <w:link w:val="BodyTextChar1"/>
    <w:rsid w:val="00FC607D"/>
    <w:pPr>
      <w:spacing w:line="280" w:lineRule="exact"/>
      <w:jc w:val="both"/>
    </w:pPr>
    <w:rPr>
      <w:rFonts w:eastAsia="Times New Roman"/>
      <w:kern w:val="10"/>
      <w:lang w:eastAsia="en-US"/>
    </w:rPr>
  </w:style>
  <w:style w:type="character" w:customStyle="1" w:styleId="BodyTextChar">
    <w:name w:val="Body Text Char"/>
    <w:basedOn w:val="DefaultParagraphFont"/>
    <w:uiPriority w:val="99"/>
    <w:rsid w:val="00FC607D"/>
    <w:rPr>
      <w:rFonts w:ascii="Arial" w:hAnsi="Arial"/>
      <w:sz w:val="22"/>
      <w:lang w:eastAsia="zh-TW"/>
    </w:rPr>
  </w:style>
  <w:style w:type="character" w:customStyle="1" w:styleId="BodyTextChar1">
    <w:name w:val="Body Text Char1"/>
    <w:link w:val="BodyText"/>
    <w:rsid w:val="00FC607D"/>
    <w:rPr>
      <w:rFonts w:ascii="Arial" w:eastAsia="Times New Roman" w:hAnsi="Arial"/>
      <w:kern w:val="10"/>
      <w:sz w:val="22"/>
      <w:lang w:eastAsia="en-US"/>
    </w:rPr>
  </w:style>
  <w:style w:type="paragraph" w:customStyle="1" w:styleId="BodyText1">
    <w:name w:val="Body Text 1"/>
    <w:basedOn w:val="Normal"/>
    <w:rsid w:val="00FC607D"/>
    <w:pPr>
      <w:spacing w:after="240" w:line="240" w:lineRule="auto"/>
      <w:ind w:left="720"/>
      <w:jc w:val="both"/>
    </w:pPr>
    <w:rPr>
      <w:rFonts w:ascii="Times New Roman" w:eastAsia="SimSun" w:hAnsi="Times New Roman"/>
      <w:sz w:val="24"/>
      <w:szCs w:val="24"/>
      <w:lang w:eastAsia="en-GB" w:bidi="ar-AE"/>
    </w:rPr>
  </w:style>
  <w:style w:type="paragraph" w:styleId="BodyText2">
    <w:name w:val="Body Text 2"/>
    <w:basedOn w:val="Normal"/>
    <w:link w:val="BodyText2Char"/>
    <w:rsid w:val="00FC607D"/>
    <w:pPr>
      <w:spacing w:after="240" w:line="240" w:lineRule="auto"/>
      <w:ind w:left="1440"/>
      <w:jc w:val="both"/>
    </w:pPr>
    <w:rPr>
      <w:rFonts w:ascii="Times New Roman" w:eastAsia="SimSun" w:hAnsi="Times New Roman"/>
      <w:sz w:val="24"/>
      <w:szCs w:val="24"/>
      <w:lang w:eastAsia="en-GB" w:bidi="ar-AE"/>
    </w:rPr>
  </w:style>
  <w:style w:type="character" w:customStyle="1" w:styleId="BodyText2Char">
    <w:name w:val="Body Text 2 Char"/>
    <w:basedOn w:val="DefaultParagraphFont"/>
    <w:link w:val="BodyText2"/>
    <w:rsid w:val="00FC607D"/>
    <w:rPr>
      <w:rFonts w:eastAsia="SimSun"/>
      <w:sz w:val="24"/>
      <w:szCs w:val="24"/>
      <w:lang w:bidi="ar-AE"/>
    </w:rPr>
  </w:style>
  <w:style w:type="paragraph" w:styleId="FootnoteText">
    <w:name w:val="footnote text"/>
    <w:basedOn w:val="Normal"/>
    <w:next w:val="Normal"/>
    <w:link w:val="FootnoteTextChar"/>
    <w:rsid w:val="00FC607D"/>
    <w:pPr>
      <w:spacing w:after="120" w:line="240" w:lineRule="auto"/>
      <w:ind w:left="340" w:hanging="340"/>
      <w:jc w:val="both"/>
    </w:pPr>
    <w:rPr>
      <w:rFonts w:ascii="Times New Roman" w:eastAsia="SimSun" w:hAnsi="Times New Roman"/>
      <w:lang w:eastAsia="zh-CN" w:bidi="ar-AE"/>
    </w:rPr>
  </w:style>
  <w:style w:type="character" w:customStyle="1" w:styleId="FootnoteTextChar">
    <w:name w:val="Footnote Text Char"/>
    <w:basedOn w:val="DefaultParagraphFont"/>
    <w:link w:val="FootnoteText"/>
    <w:rsid w:val="00FC607D"/>
    <w:rPr>
      <w:rFonts w:eastAsia="SimSun"/>
      <w:sz w:val="22"/>
      <w:lang w:eastAsia="zh-CN" w:bidi="ar-AE"/>
    </w:rPr>
  </w:style>
  <w:style w:type="character" w:styleId="FootnoteReference">
    <w:name w:val="footnote reference"/>
    <w:rsid w:val="00FC607D"/>
    <w:rPr>
      <w:rFonts w:ascii="Times New Roman" w:eastAsia="SimSun" w:hAnsi="Times New Roman" w:cs="Simplified Arabic"/>
      <w:sz w:val="18"/>
      <w:szCs w:val="18"/>
      <w:vertAlign w:val="superscript"/>
      <w:lang w:bidi="ar-AE"/>
    </w:rPr>
  </w:style>
  <w:style w:type="paragraph" w:customStyle="1" w:styleId="DefinitionsL2">
    <w:name w:val="Definitions L2"/>
    <w:basedOn w:val="Normal"/>
    <w:next w:val="BodyText2"/>
    <w:link w:val="DefinitionsL2Char"/>
    <w:rsid w:val="00FC607D"/>
    <w:pPr>
      <w:numPr>
        <w:ilvl w:val="5"/>
        <w:numId w:val="7"/>
      </w:numPr>
      <w:tabs>
        <w:tab w:val="num" w:pos="1440"/>
      </w:tabs>
      <w:spacing w:after="240" w:line="240" w:lineRule="auto"/>
      <w:ind w:left="1440" w:hanging="720"/>
      <w:jc w:val="both"/>
      <w:outlineLvl w:val="1"/>
    </w:pPr>
    <w:rPr>
      <w:rFonts w:ascii="Times New Roman" w:eastAsia="SimSun" w:hAnsi="Times New Roman"/>
      <w:sz w:val="24"/>
      <w:szCs w:val="24"/>
      <w:lang w:eastAsia="zh-CN" w:bidi="ar-AE"/>
    </w:rPr>
  </w:style>
  <w:style w:type="character" w:customStyle="1" w:styleId="DefinitionsL2Char">
    <w:name w:val="Definitions L2 Char"/>
    <w:link w:val="DefinitionsL2"/>
    <w:rsid w:val="00FC607D"/>
    <w:rPr>
      <w:rFonts w:eastAsia="SimSun"/>
      <w:sz w:val="24"/>
      <w:szCs w:val="24"/>
      <w:lang w:eastAsia="zh-CN" w:bidi="ar-AE"/>
    </w:rPr>
  </w:style>
  <w:style w:type="paragraph" w:customStyle="1" w:styleId="DefinitionsL1">
    <w:name w:val="Definitions L1"/>
    <w:basedOn w:val="Normal"/>
    <w:next w:val="BodyText1"/>
    <w:link w:val="DefinitionsL1Char"/>
    <w:rsid w:val="00FC607D"/>
    <w:pPr>
      <w:numPr>
        <w:ilvl w:val="4"/>
        <w:numId w:val="7"/>
      </w:numPr>
      <w:tabs>
        <w:tab w:val="num" w:pos="720"/>
      </w:tabs>
      <w:spacing w:after="240" w:line="240" w:lineRule="auto"/>
      <w:ind w:left="720"/>
      <w:jc w:val="both"/>
      <w:outlineLvl w:val="0"/>
    </w:pPr>
    <w:rPr>
      <w:rFonts w:ascii="Times New Roman" w:eastAsia="SimSun" w:hAnsi="Times New Roman"/>
      <w:sz w:val="24"/>
      <w:szCs w:val="24"/>
      <w:lang w:eastAsia="zh-CN" w:bidi="ar-AE"/>
    </w:rPr>
  </w:style>
  <w:style w:type="character" w:customStyle="1" w:styleId="DefinitionsL1Char">
    <w:name w:val="Definitions L1 Char"/>
    <w:link w:val="DefinitionsL1"/>
    <w:rsid w:val="00FC607D"/>
    <w:rPr>
      <w:rFonts w:eastAsia="SimSun"/>
      <w:sz w:val="24"/>
      <w:szCs w:val="24"/>
      <w:lang w:eastAsia="zh-CN" w:bidi="ar-AE"/>
    </w:rPr>
  </w:style>
  <w:style w:type="paragraph" w:customStyle="1" w:styleId="ListAlpha2">
    <w:name w:val="List Alpha 2"/>
    <w:basedOn w:val="Normal"/>
    <w:next w:val="BodyText2"/>
    <w:rsid w:val="00FC607D"/>
    <w:pPr>
      <w:tabs>
        <w:tab w:val="left" w:pos="50"/>
        <w:tab w:val="num" w:pos="360"/>
      </w:tabs>
      <w:spacing w:after="200" w:line="288" w:lineRule="auto"/>
      <w:jc w:val="both"/>
    </w:pPr>
    <w:rPr>
      <w:rFonts w:ascii="CG Times" w:eastAsia="Times New Roman" w:hAnsi="CG Times"/>
      <w:lang w:eastAsia="en-US"/>
    </w:rPr>
  </w:style>
  <w:style w:type="character" w:customStyle="1" w:styleId="HeaderChar">
    <w:name w:val="Header Char"/>
    <w:basedOn w:val="DefaultParagraphFont"/>
    <w:link w:val="Header"/>
    <w:uiPriority w:val="99"/>
    <w:rsid w:val="00FC607D"/>
    <w:rPr>
      <w:rFonts w:ascii="Arial" w:hAnsi="Arial"/>
      <w:sz w:val="18"/>
      <w:lang w:eastAsia="zh-TW"/>
    </w:rPr>
  </w:style>
  <w:style w:type="character" w:customStyle="1" w:styleId="FooterChar">
    <w:name w:val="Footer Char"/>
    <w:basedOn w:val="DefaultParagraphFont"/>
    <w:link w:val="Footer"/>
    <w:uiPriority w:val="99"/>
    <w:rsid w:val="00FC607D"/>
    <w:rPr>
      <w:rFonts w:ascii="Arial" w:hAnsi="Arial"/>
      <w:sz w:val="18"/>
      <w:lang w:eastAsia="zh-TW"/>
    </w:rPr>
  </w:style>
  <w:style w:type="paragraph" w:styleId="ListParagraph">
    <w:name w:val="List Paragraph"/>
    <w:basedOn w:val="Normal"/>
    <w:uiPriority w:val="99"/>
    <w:qFormat/>
    <w:rsid w:val="00FC607D"/>
    <w:pPr>
      <w:spacing w:after="240" w:line="240" w:lineRule="auto"/>
      <w:ind w:left="720"/>
      <w:contextualSpacing/>
      <w:jc w:val="both"/>
    </w:pPr>
    <w:rPr>
      <w:rFonts w:ascii="Times New Roman" w:eastAsia="SimSun" w:hAnsi="Times New Roman"/>
      <w:sz w:val="24"/>
      <w:szCs w:val="24"/>
      <w:lang w:eastAsia="zh-CN" w:bidi="ar-AE"/>
    </w:rPr>
  </w:style>
  <w:style w:type="character" w:customStyle="1" w:styleId="BalloonTextChar">
    <w:name w:val="Balloon Text Char"/>
    <w:basedOn w:val="DefaultParagraphFont"/>
    <w:link w:val="BalloonText"/>
    <w:uiPriority w:val="99"/>
    <w:semiHidden/>
    <w:rsid w:val="00FC607D"/>
    <w:rPr>
      <w:rFonts w:ascii="Tahoma" w:hAnsi="Tahoma" w:cs="Tahoma"/>
      <w:sz w:val="16"/>
      <w:szCs w:val="16"/>
      <w:lang w:eastAsia="zh-TW"/>
    </w:rPr>
  </w:style>
  <w:style w:type="character" w:customStyle="1" w:styleId="Heading1Char">
    <w:name w:val="Heading 1 Char"/>
    <w:aliases w:val="Lev 1 Char"/>
    <w:basedOn w:val="DefaultParagraphFont"/>
    <w:link w:val="Heading1"/>
    <w:uiPriority w:val="9"/>
    <w:rsid w:val="00051DC3"/>
    <w:rPr>
      <w:rFonts w:ascii="Arial" w:hAnsi="Arial"/>
      <w:color w:val="C00000"/>
      <w:kern w:val="28"/>
      <w:sz w:val="36"/>
      <w:szCs w:val="36"/>
      <w:lang w:eastAsia="zh-TW"/>
    </w:rPr>
  </w:style>
  <w:style w:type="character" w:customStyle="1" w:styleId="Heading2Char">
    <w:name w:val="Heading 2 Char"/>
    <w:aliases w:val="Lev 2 Char"/>
    <w:basedOn w:val="DefaultParagraphFont"/>
    <w:link w:val="Heading2"/>
    <w:uiPriority w:val="9"/>
    <w:rsid w:val="00FC607D"/>
    <w:rPr>
      <w:rFonts w:ascii="Arial" w:hAnsi="Arial"/>
      <w:color w:val="C00000"/>
      <w:sz w:val="32"/>
      <w:szCs w:val="32"/>
      <w:lang w:eastAsia="zh-TW"/>
    </w:rPr>
  </w:style>
  <w:style w:type="character" w:customStyle="1" w:styleId="Heading3Char">
    <w:name w:val="Heading 3 Char"/>
    <w:aliases w:val="Lev 3 Char"/>
    <w:basedOn w:val="DefaultParagraphFont"/>
    <w:link w:val="Heading3"/>
    <w:uiPriority w:val="9"/>
    <w:rsid w:val="00633C01"/>
    <w:rPr>
      <w:rFonts w:ascii="Arial" w:hAnsi="Arial"/>
      <w:b/>
      <w:w w:val="0"/>
      <w:sz w:val="22"/>
      <w:szCs w:val="28"/>
      <w:lang w:eastAsia="zh-TW"/>
    </w:rPr>
  </w:style>
  <w:style w:type="character" w:styleId="CommentReference">
    <w:name w:val="annotation reference"/>
    <w:basedOn w:val="DefaultParagraphFont"/>
    <w:uiPriority w:val="99"/>
    <w:unhideWhenUsed/>
    <w:rsid w:val="00FC607D"/>
    <w:rPr>
      <w:sz w:val="16"/>
      <w:szCs w:val="16"/>
    </w:rPr>
  </w:style>
  <w:style w:type="paragraph" w:styleId="CommentText">
    <w:name w:val="annotation text"/>
    <w:basedOn w:val="Normal"/>
    <w:link w:val="CommentTextChar"/>
    <w:uiPriority w:val="99"/>
    <w:unhideWhenUsed/>
    <w:rsid w:val="00FC607D"/>
    <w:pPr>
      <w:spacing w:line="240" w:lineRule="auto"/>
      <w:jc w:val="both"/>
    </w:pPr>
    <w:rPr>
      <w:rFonts w:eastAsia="Times New Roman"/>
      <w:kern w:val="10"/>
      <w:sz w:val="20"/>
      <w:lang w:eastAsia="en-US"/>
    </w:rPr>
  </w:style>
  <w:style w:type="character" w:customStyle="1" w:styleId="CommentTextChar">
    <w:name w:val="Comment Text Char"/>
    <w:basedOn w:val="DefaultParagraphFont"/>
    <w:link w:val="CommentText"/>
    <w:uiPriority w:val="99"/>
    <w:rsid w:val="00FC607D"/>
    <w:rPr>
      <w:rFonts w:ascii="Arial" w:eastAsia="Times New Roman" w:hAnsi="Arial"/>
      <w:kern w:val="10"/>
      <w:lang w:eastAsia="en-US"/>
    </w:rPr>
  </w:style>
  <w:style w:type="paragraph" w:styleId="CommentSubject">
    <w:name w:val="annotation subject"/>
    <w:basedOn w:val="CommentText"/>
    <w:next w:val="CommentText"/>
    <w:link w:val="CommentSubjectChar"/>
    <w:uiPriority w:val="99"/>
    <w:unhideWhenUsed/>
    <w:rsid w:val="00FC607D"/>
    <w:rPr>
      <w:b/>
      <w:bCs/>
    </w:rPr>
  </w:style>
  <w:style w:type="character" w:customStyle="1" w:styleId="CommentSubjectChar">
    <w:name w:val="Comment Subject Char"/>
    <w:basedOn w:val="CommentTextChar"/>
    <w:link w:val="CommentSubject"/>
    <w:uiPriority w:val="99"/>
    <w:rsid w:val="00FC607D"/>
    <w:rPr>
      <w:rFonts w:ascii="Arial" w:eastAsia="Times New Roman" w:hAnsi="Arial"/>
      <w:b/>
      <w:bCs/>
      <w:kern w:val="10"/>
      <w:lang w:eastAsia="en-US"/>
    </w:rPr>
  </w:style>
  <w:style w:type="paragraph" w:styleId="TOCHeading">
    <w:name w:val="TOC Heading"/>
    <w:basedOn w:val="Heading1"/>
    <w:next w:val="Normal"/>
    <w:uiPriority w:val="39"/>
    <w:semiHidden/>
    <w:unhideWhenUsed/>
    <w:qFormat/>
    <w:rsid w:val="00633C01"/>
    <w:pPr>
      <w:keepLines/>
      <w:spacing w:before="480" w:after="0" w:line="276" w:lineRule="auto"/>
      <w:outlineLvl w:val="9"/>
    </w:pPr>
    <w:rPr>
      <w:rFonts w:asciiTheme="majorHAnsi" w:eastAsiaTheme="majorEastAsia" w:hAnsiTheme="majorHAnsi" w:cstheme="majorBidi"/>
      <w:b/>
      <w:bCs/>
      <w:color w:val="365F91" w:themeColor="accent1" w:themeShade="BF"/>
      <w:kern w:val="0"/>
      <w:sz w:val="28"/>
      <w:szCs w:val="28"/>
      <w:lang w:val="en-US" w:eastAsia="ja-JP"/>
    </w:rPr>
  </w:style>
  <w:style w:type="numbering" w:customStyle="1" w:styleId="Style1">
    <w:name w:val="Style1"/>
    <w:uiPriority w:val="99"/>
    <w:rsid w:val="009E2301"/>
    <w:pPr>
      <w:numPr>
        <w:numId w:val="16"/>
      </w:numPr>
    </w:pPr>
  </w:style>
  <w:style w:type="character" w:customStyle="1" w:styleId="Clausetext2Char">
    <w:name w:val="Clause text 2 Char"/>
    <w:link w:val="Clausetext2"/>
    <w:rsid w:val="0011015D"/>
    <w:rPr>
      <w:rFonts w:ascii="Georgia" w:eastAsia="MS Mincho" w:hAnsi="Georgia"/>
      <w:sz w:val="22"/>
    </w:rPr>
  </w:style>
  <w:style w:type="paragraph" w:styleId="Index1">
    <w:name w:val="index 1"/>
    <w:basedOn w:val="Normal"/>
    <w:next w:val="Normal"/>
    <w:autoRedefine/>
    <w:rsid w:val="007F7BED"/>
    <w:pPr>
      <w:spacing w:line="240" w:lineRule="auto"/>
      <w:ind w:left="220" w:hanging="220"/>
    </w:pPr>
  </w:style>
  <w:style w:type="paragraph" w:styleId="IndexHeading">
    <w:name w:val="index heading"/>
    <w:basedOn w:val="Normal"/>
    <w:next w:val="Index1"/>
    <w:uiPriority w:val="99"/>
    <w:rsid w:val="007F7BED"/>
    <w:pPr>
      <w:spacing w:after="480" w:line="240" w:lineRule="auto"/>
      <w:jc w:val="center"/>
    </w:pPr>
    <w:rPr>
      <w:rFonts w:ascii="Times New Roman" w:eastAsia="Times New Roman" w:hAnsi="Times New Roman"/>
      <w:b/>
      <w:caps/>
      <w:sz w:val="24"/>
      <w:szCs w:val="24"/>
      <w:lang w:eastAsia="en-US"/>
    </w:rPr>
  </w:style>
  <w:style w:type="paragraph" w:styleId="List4">
    <w:name w:val="List 4"/>
    <w:basedOn w:val="Normal"/>
    <w:uiPriority w:val="99"/>
    <w:rsid w:val="00524BD5"/>
    <w:pPr>
      <w:numPr>
        <w:numId w:val="48"/>
      </w:numPr>
      <w:spacing w:line="240" w:lineRule="auto"/>
    </w:pPr>
    <w:rPr>
      <w:rFonts w:ascii="Times New Roman" w:eastAsia="Times New Roman" w:hAnsi="Times New Roman"/>
      <w:sz w:val="24"/>
      <w:szCs w:val="24"/>
      <w:lang w:eastAsia="en-US"/>
    </w:rPr>
  </w:style>
  <w:style w:type="paragraph" w:customStyle="1" w:styleId="Address">
    <w:name w:val="Address"/>
    <w:basedOn w:val="BodyText"/>
    <w:uiPriority w:val="99"/>
    <w:rsid w:val="00524BD5"/>
    <w:pPr>
      <w:numPr>
        <w:ilvl w:val="4"/>
        <w:numId w:val="48"/>
      </w:numPr>
      <w:spacing w:after="720"/>
    </w:pPr>
    <w:rPr>
      <w:rFonts w:ascii="Times New Roman" w:hAnsi="Times New Roman"/>
      <w:noProof/>
      <w:kern w:val="0"/>
      <w:sz w:val="24"/>
      <w:szCs w:val="24"/>
    </w:rPr>
  </w:style>
  <w:style w:type="paragraph" w:customStyle="1" w:styleId="Label">
    <w:name w:val="Label"/>
    <w:basedOn w:val="BodyText"/>
    <w:uiPriority w:val="99"/>
    <w:rsid w:val="00524BD5"/>
    <w:pPr>
      <w:numPr>
        <w:ilvl w:val="7"/>
        <w:numId w:val="48"/>
      </w:numPr>
      <w:spacing w:before="240" w:after="120"/>
    </w:pPr>
    <w:rPr>
      <w:rFonts w:ascii="Times New Roman" w:hAnsi="Times New Roman"/>
      <w:kern w:val="0"/>
      <w:sz w:val="24"/>
      <w:szCs w:val="24"/>
    </w:rPr>
  </w:style>
  <w:style w:type="paragraph" w:customStyle="1" w:styleId="FWBCont8">
    <w:name w:val="FWB Cont 8"/>
    <w:basedOn w:val="Normal"/>
    <w:uiPriority w:val="99"/>
    <w:rsid w:val="00524BD5"/>
    <w:pPr>
      <w:numPr>
        <w:numId w:val="49"/>
      </w:numPr>
      <w:spacing w:after="240" w:line="240" w:lineRule="auto"/>
      <w:jc w:val="both"/>
    </w:pPr>
    <w:rPr>
      <w:rFonts w:ascii="Times New Roman" w:eastAsia="Times New Roman" w:hAnsi="Times New Roman"/>
      <w:sz w:val="24"/>
      <w:lang w:eastAsia="en-US"/>
    </w:rPr>
  </w:style>
  <w:style w:type="paragraph" w:customStyle="1" w:styleId="FWBL1">
    <w:name w:val="FWB_L1"/>
    <w:basedOn w:val="Normal"/>
    <w:next w:val="FWBL2"/>
    <w:rsid w:val="00524BD5"/>
    <w:pPr>
      <w:keepNext/>
      <w:keepLines/>
      <w:numPr>
        <w:ilvl w:val="1"/>
        <w:numId w:val="49"/>
      </w:numPr>
      <w:spacing w:after="240" w:line="240" w:lineRule="auto"/>
      <w:outlineLvl w:val="0"/>
    </w:pPr>
    <w:rPr>
      <w:rFonts w:ascii="Times New Roman" w:eastAsia="Times New Roman" w:hAnsi="Times New Roman"/>
      <w:b/>
      <w:smallCaps/>
      <w:sz w:val="24"/>
      <w:lang w:eastAsia="en-US"/>
    </w:rPr>
  </w:style>
  <w:style w:type="paragraph" w:customStyle="1" w:styleId="FWBL2">
    <w:name w:val="FWB_L2"/>
    <w:basedOn w:val="FWBL1"/>
    <w:link w:val="FWBL2Char"/>
    <w:rsid w:val="00524BD5"/>
    <w:pPr>
      <w:keepNext w:val="0"/>
      <w:keepLines w:val="0"/>
      <w:numPr>
        <w:ilvl w:val="2"/>
      </w:numPr>
      <w:jc w:val="both"/>
      <w:outlineLvl w:val="9"/>
    </w:pPr>
    <w:rPr>
      <w:b w:val="0"/>
      <w:smallCaps w:val="0"/>
    </w:rPr>
  </w:style>
  <w:style w:type="character" w:customStyle="1" w:styleId="FWBL2Char">
    <w:name w:val="FWB_L2 Char"/>
    <w:link w:val="FWBL2"/>
    <w:locked/>
    <w:rsid w:val="00524BD5"/>
    <w:rPr>
      <w:rFonts w:eastAsia="Times New Roman"/>
      <w:sz w:val="24"/>
      <w:lang w:eastAsia="en-US"/>
    </w:rPr>
  </w:style>
  <w:style w:type="paragraph" w:customStyle="1" w:styleId="FWBL3">
    <w:name w:val="FWB_L3"/>
    <w:basedOn w:val="FWBL2"/>
    <w:rsid w:val="00524BD5"/>
    <w:pPr>
      <w:numPr>
        <w:ilvl w:val="4"/>
      </w:numPr>
      <w:tabs>
        <w:tab w:val="clear" w:pos="2880"/>
        <w:tab w:val="num" w:pos="3600"/>
      </w:tabs>
      <w:ind w:left="3600" w:hanging="360"/>
    </w:pPr>
  </w:style>
  <w:style w:type="paragraph" w:customStyle="1" w:styleId="FWBL4">
    <w:name w:val="FWB_L4"/>
    <w:basedOn w:val="FWBL3"/>
    <w:rsid w:val="00524BD5"/>
    <w:pPr>
      <w:numPr>
        <w:ilvl w:val="5"/>
      </w:numPr>
      <w:tabs>
        <w:tab w:val="clear" w:pos="3600"/>
        <w:tab w:val="num" w:pos="4320"/>
      </w:tabs>
      <w:ind w:left="4320" w:hanging="180"/>
    </w:pPr>
  </w:style>
  <w:style w:type="paragraph" w:customStyle="1" w:styleId="FWBL5">
    <w:name w:val="FWB_L5"/>
    <w:basedOn w:val="FWBL4"/>
    <w:rsid w:val="00524BD5"/>
    <w:pPr>
      <w:numPr>
        <w:ilvl w:val="6"/>
      </w:numPr>
      <w:tabs>
        <w:tab w:val="clear" w:pos="4320"/>
        <w:tab w:val="num" w:pos="5040"/>
      </w:tabs>
      <w:ind w:left="5040" w:hanging="360"/>
    </w:pPr>
  </w:style>
  <w:style w:type="paragraph" w:customStyle="1" w:styleId="FWBL6">
    <w:name w:val="FWB_L6"/>
    <w:basedOn w:val="FWBL5"/>
    <w:rsid w:val="00524BD5"/>
    <w:pPr>
      <w:numPr>
        <w:ilvl w:val="5"/>
        <w:numId w:val="48"/>
      </w:numPr>
      <w:tabs>
        <w:tab w:val="clear" w:pos="2880"/>
        <w:tab w:val="num" w:pos="360"/>
      </w:tabs>
      <w:ind w:left="4320" w:hanging="180"/>
    </w:pPr>
  </w:style>
  <w:style w:type="paragraph" w:customStyle="1" w:styleId="FWBL7">
    <w:name w:val="FWB_L7"/>
    <w:basedOn w:val="FWBL6"/>
    <w:rsid w:val="00524BD5"/>
    <w:pPr>
      <w:numPr>
        <w:ilvl w:val="6"/>
      </w:numPr>
      <w:tabs>
        <w:tab w:val="clear" w:pos="3600"/>
        <w:tab w:val="num" w:pos="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ida.worldbank.org/about/borrowing-countri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ifc.org/EHSGuidelines"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ifc.org/PerformanceStandard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70cb497-4044-4cf2-90cc-f4ae0dbc3665"/>
    <e60208c032404629b4d3226b63133635 xmlns="870cb497-4044-4cf2-90cc-f4ae0dbc3665">
      <Terms xmlns="http://schemas.microsoft.com/office/infopath/2007/PartnerControls"/>
    </e60208c032404629b4d3226b63133635>
    <m84d7c7f63cb451b899bccc83df50b61 xmlns="870cb497-4044-4cf2-90cc-f4ae0dbc3665">
      <Terms xmlns="http://schemas.microsoft.com/office/infopath/2007/PartnerControls"/>
    </m84d7c7f63cb451b899bccc83df50b61>
  </documentManagement>
</p:properties>
</file>

<file path=customXml/item2.xml><?xml version="1.0" encoding="utf-8"?>
<?mso-contentType ?>
<SharedContentType xmlns="Microsoft.SharePoint.Taxonomy.ContentTypeSync" SourceId="a5800705-6cab-460c-b450-fee685b6c533" ContentTypeId="0x0101" PreviousValue="false"/>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F19B5C5E8643C4E91B427CC49661988" ma:contentTypeVersion="4" ma:contentTypeDescription="Create a new document." ma:contentTypeScope="" ma:versionID="f178b31385daaffa9bee1458874d4d6b">
  <xsd:schema xmlns:xsd="http://www.w3.org/2001/XMLSchema" xmlns:xs="http://www.w3.org/2001/XMLSchema" xmlns:p="http://schemas.microsoft.com/office/2006/metadata/properties" xmlns:ns2="870cb497-4044-4cf2-90cc-f4ae0dbc3665" xmlns:ns3="af9f7786-c3e7-4d33-901e-0949b83e527a" targetNamespace="http://schemas.microsoft.com/office/2006/metadata/properties" ma:root="true" ma:fieldsID="f526930689c0263feaa36bb718850300" ns2:_="" ns3:_="">
    <xsd:import namespace="870cb497-4044-4cf2-90cc-f4ae0dbc3665"/>
    <xsd:import namespace="af9f7786-c3e7-4d33-901e-0949b83e527a"/>
    <xsd:element name="properties">
      <xsd:complexType>
        <xsd:sequence>
          <xsd:element name="documentManagement">
            <xsd:complexType>
              <xsd:all>
                <xsd:element ref="ns2:m84d7c7f63cb451b899bccc83df50b61" minOccurs="0"/>
                <xsd:element ref="ns2:TaxCatchAll" minOccurs="0"/>
                <xsd:element ref="ns2:TaxCatchAllLabel" minOccurs="0"/>
                <xsd:element ref="ns2:e60208c032404629b4d3226b63133635"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cb497-4044-4cf2-90cc-f4ae0dbc3665" elementFormDefault="qualified">
    <xsd:import namespace="http://schemas.microsoft.com/office/2006/documentManagement/types"/>
    <xsd:import namespace="http://schemas.microsoft.com/office/infopath/2007/PartnerControls"/>
    <xsd:element name="m84d7c7f63cb451b899bccc83df50b61" ma:index="8" nillable="true" ma:taxonomy="true" ma:internalName="m84d7c7f63cb451b899bccc83df50b61" ma:taxonomyFieldName="CDCDocumentType" ma:displayName="Document Type" ma:default="" ma:fieldId="{684d7c7f-63cb-451b-899b-ccc83df50b61}" ma:sspId="a5800705-6cab-460c-b450-fee685b6c533" ma:termSetId="9f4130ef-8c5c-407c-aa7b-8c88a3643df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bfd7f20-e017-4127-9f61-fe49932a1126}" ma:internalName="TaxCatchAll" ma:showField="CatchAllData" ma:web="2b16538c-59ea-4e35-9e08-52b56f73720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bfd7f20-e017-4127-9f61-fe49932a1126}" ma:internalName="TaxCatchAllLabel" ma:readOnly="true" ma:showField="CatchAllDataLabel" ma:web="2b16538c-59ea-4e35-9e08-52b56f73720b">
      <xsd:complexType>
        <xsd:complexContent>
          <xsd:extension base="dms:MultiChoiceLookup">
            <xsd:sequence>
              <xsd:element name="Value" type="dms:Lookup" maxOccurs="unbounded" minOccurs="0" nillable="true"/>
            </xsd:sequence>
          </xsd:extension>
        </xsd:complexContent>
      </xsd:complexType>
    </xsd:element>
    <xsd:element name="e60208c032404629b4d3226b63133635" ma:index="12" nillable="true" ma:taxonomy="true" ma:internalName="e60208c032404629b4d3226b63133635" ma:taxonomyFieldName="CDCRelateTo" ma:displayName="Relates To" ma:default="" ma:fieldId="{e60208c0-3240-4629-b4d3-226b63133635}" ma:taxonomyMulti="true" ma:sspId="a5800705-6cab-460c-b450-fee685b6c533" ma:termSetId="393c547d-ea85-45f5-81e1-f49dc26bf66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9f7786-c3e7-4d33-901e-0949b83e527a"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MediaServiceAutoTags" ma:internalName="MediaServiceAutoTags"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542E7-6B06-44C8-9A27-955DBBFC1691}">
  <ds:schemaRefs>
    <ds:schemaRef ds:uri="http://purl.org/dc/dcmitype/"/>
    <ds:schemaRef ds:uri="http://schemas.microsoft.com/office/infopath/2007/PartnerControls"/>
    <ds:schemaRef ds:uri="http://purl.org/dc/elements/1.1/"/>
    <ds:schemaRef ds:uri="http://schemas.microsoft.com/office/2006/documentManagement/types"/>
    <ds:schemaRef ds:uri="af9f7786-c3e7-4d33-901e-0949b83e527a"/>
    <ds:schemaRef ds:uri="870cb497-4044-4cf2-90cc-f4ae0dbc3665"/>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BC3635A-1FFE-46B3-93F9-DF7E55464427}">
  <ds:schemaRefs>
    <ds:schemaRef ds:uri="Microsoft.SharePoint.Taxonomy.ContentTypeSync"/>
  </ds:schemaRefs>
</ds:datastoreItem>
</file>

<file path=customXml/itemProps3.xml><?xml version="1.0" encoding="utf-8"?>
<ds:datastoreItem xmlns:ds="http://schemas.openxmlformats.org/officeDocument/2006/customXml" ds:itemID="{4EDFED6F-49A5-4ED7-BF1B-21E334691AC6}">
  <ds:schemaRefs>
    <ds:schemaRef ds:uri="http://schemas.microsoft.com/office/2006/metadata/longProperties"/>
  </ds:schemaRefs>
</ds:datastoreItem>
</file>

<file path=customXml/itemProps4.xml><?xml version="1.0" encoding="utf-8"?>
<ds:datastoreItem xmlns:ds="http://schemas.openxmlformats.org/officeDocument/2006/customXml" ds:itemID="{6BDA410E-4FD7-4AFF-8B8D-18BA25D49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cb497-4044-4cf2-90cc-f4ae0dbc3665"/>
    <ds:schemaRef ds:uri="af9f7786-c3e7-4d33-901e-0949b83e52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6D39EE-324A-48D0-9337-1C169F7D7BDF}">
  <ds:schemaRefs>
    <ds:schemaRef ds:uri="http://schemas.microsoft.com/sharepoint/v3/contenttype/forms"/>
  </ds:schemaRefs>
</ds:datastoreItem>
</file>

<file path=customXml/itemProps6.xml><?xml version="1.0" encoding="utf-8"?>
<ds:datastoreItem xmlns:ds="http://schemas.openxmlformats.org/officeDocument/2006/customXml" ds:itemID="{7D7874E1-CDBB-4475-ADC7-A574FAE9300C}">
  <ds:schemaRefs>
    <ds:schemaRef ds:uri="http://schemas.openxmlformats.org/officeDocument/2006/bibliography"/>
  </ds:schemaRefs>
</ds:datastoreItem>
</file>

<file path=customXml/itemProps7.xml><?xml version="1.0" encoding="utf-8"?>
<ds:datastoreItem xmlns:ds="http://schemas.openxmlformats.org/officeDocument/2006/customXml" ds:itemID="{CF5F7C1D-D2E8-465D-A655-52F992811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8232</Words>
  <Characters>46924</Characters>
  <Application>Microsoft Office Word</Application>
  <DocSecurity>6</DocSecurity>
  <Lines>391</Lines>
  <Paragraphs>110</Paragraphs>
  <ScaleCrop>false</ScaleCrop>
  <HeadingPairs>
    <vt:vector size="2" baseType="variant">
      <vt:variant>
        <vt:lpstr>Title</vt:lpstr>
      </vt:variant>
      <vt:variant>
        <vt:i4>1</vt:i4>
      </vt:variant>
    </vt:vector>
  </HeadingPairs>
  <TitlesOfParts>
    <vt:vector size="1" baseType="lpstr">
      <vt:lpstr>Drafting Guide (Asia)</vt:lpstr>
    </vt:vector>
  </TitlesOfParts>
  <Company>3i plc</Company>
  <LinksUpToDate>false</LinksUpToDate>
  <CharactersWithSpaces>55046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Drafting Guide (Asia)</dc:title>
  <dc:creator>Andrew Wallace</dc:creator>
  <cp:lastModifiedBy>Robert Borthwick</cp:lastModifiedBy>
  <cp:revision>2</cp:revision>
  <cp:lastPrinted>2016-05-27T12:01:00Z</cp:lastPrinted>
  <dcterms:created xsi:type="dcterms:W3CDTF">2018-01-25T16:00:00Z</dcterms:created>
  <dcterms:modified xsi:type="dcterms:W3CDTF">2018-01-25T16:00:00Z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0x0101001F19B5C5E8643C4E91B427CC49661988</vt:lpwstr>
  </property>
</Properties>
</file>